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iepriekš izteiktais priekšlikums nav izpildīts pilnībā, kā arī to, ka likumprojektam ir paredzēts ex-post izvērtējums, lūdzam iekļaut administratīvā sloga novērtējumu ex-post izvērtējumā.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Administratīvo izmaksu noteikšana ex-post izvērtējumā ir pieļaujama saskaņā ar Vadlīnijām tiesību akta sākotnējās ietekmes novērtēšanai un novērtējuma ziņojuma sagatavošanai vienotajā TAP portālā (pieejamas Ministru kabineta tīmekļvietnē - https://www.mk.gov.lv/lv/media/16905/download?attachment). Gadījumos, kad tiesību akta projekta sāktnējā novērtējumā objektīvu iemeslu dēļ nav iespējams veikt administratīvo izmaksu aprēķinu, bet ir paredzama nozīmīga ietekme, TAP portāla anotācijas 1. sadaļas 1.5. apakšpunktā norāda ex-post izvērtēšanas nepieciešamību.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Krikščūna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