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Noteikumi stājas spēkā vienlaikus ar Gaujas Nacionālā parka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sekot līdzi likumprojekta satura izmaiņām Saeimā un tam lai noteikumu projekta norāde uz kāda likuma norma pamata tie tiek izdoti saskanētu ar likumprojektu, kā arī likumprojekta 3.lasījumā noteikumu projektā norādīt jau konkrētu tā spēkā stāšanās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8.1.12. uz cilvēktiesībām, demokrātiskām vērtībām un pilsoniskās sabiedrības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aizpildīt sadaļu, jo projektam ir ietekme uz cilvēktiesībām noteiktā teritorijā (tiek paredzēta virkne tiesību ierobežojumu attiecībā uz kuriem skaidrojama to nepieciešamība un samērīgums).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26.03.2025.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26.03.2025.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