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1.pielikuma pirmajā tabulā </w:t>
            </w:r>
            <w:r w:rsidR="00000000" w:rsidRPr="00000000" w:rsidDel="00000000">
              <w:rPr>
                <w:i w:val="1"/>
                <w:rtl w:val="0"/>
              </w:rPr>
              <w:t xml:space="preserve">"Indikatīvs aprēķins patvertnes atjaunošanai vai izveidošanai" </w:t>
            </w:r>
            <w:r w:rsidR="00000000" w:rsidRPr="00000000" w:rsidDel="00000000">
              <w:rPr>
                <w:rtl w:val="0"/>
              </w:rPr>
              <w:t xml:space="preserve">un otrajā tabulā </w:t>
            </w:r>
            <w:r w:rsidR="00000000" w:rsidRPr="00000000" w:rsidDel="00000000">
              <w:rPr>
                <w:i w:val="1"/>
                <w:rtl w:val="0"/>
              </w:rPr>
              <w:t xml:space="preserve">"Indikatīvs aprēķins vietas, kur var patverties, izveidošanai" </w:t>
            </w:r>
            <w:r w:rsidR="00000000" w:rsidRPr="00000000" w:rsidDel="00000000">
              <w:rPr>
                <w:rtl w:val="0"/>
              </w:rPr>
              <w:t xml:space="preserve">veiktos aprēķinus nebalstīt uz attiecīgo vietu jeb objektu platības kritēriju (150m</w:t>
            </w:r>
            <w:r w:rsidR="00000000" w:rsidRPr="00000000" w:rsidDel="00000000">
              <w:rPr>
                <w:vertAlign w:val="superscript"/>
                <w:rtl w:val="0"/>
              </w:rPr>
              <w:t xml:space="preserve">2</w:t>
            </w:r>
            <w:r w:rsidR="00000000" w:rsidRPr="00000000" w:rsidDel="00000000">
              <w:rPr>
                <w:rtl w:val="0"/>
              </w:rPr>
              <w:t xml:space="preserve"> un 70m</w:t>
            </w:r>
            <w:r w:rsidR="00000000" w:rsidRPr="00000000" w:rsidDel="00000000">
              <w:rPr>
                <w:vertAlign w:val="superscript"/>
                <w:rtl w:val="0"/>
              </w:rPr>
              <w:t xml:space="preserve">2</w:t>
            </w:r>
            <w:r w:rsidR="00000000" w:rsidRPr="00000000" w:rsidDel="00000000">
              <w:rPr>
                <w:rtl w:val="0"/>
              </w:rPr>
              <w:t xml:space="preserve">). Cik noprotams, tad iemesls divām dažādām tabulām, ir nevis platību atšķirība, bet tas, ka viena tabula ir par patvertni (vietu, kas būvēta ar attiecīgo funkciju un izpilda Patvertņu būvnormatīva LBN 210-24 prasības (pašlaik izstrādē)), bet otra ir par vietu, kas agrāk ir būvēta ar citu funkciju (piemēram, pagraba telpas) un bez būtiskiem būvdarbiem ir jāpielāgo vietai, kur var patverties. Ja platība ir minēta kā rādītājs tipiskam objektam, tad aicinām par vietām, kur var patverties, pieņemt tipiskāko objektu - telpas, kas  skaita ziņā saistāmas ar vislielāko iedzīvotāju daļu, kas blīvi apdzīvotās vietās, pirmsšķietami, varētu būt daudzdzīvokļu dzīvojamā ēkas pazemes stāvs (ēkas apbūves laukums ap 600m</w:t>
            </w:r>
            <w:r w:rsidR="00000000" w:rsidRPr="00000000" w:rsidDel="00000000">
              <w:rPr>
                <w:vertAlign w:val="superscript"/>
                <w:rtl w:val="0"/>
              </w:rPr>
              <w:t xml:space="preserve">2</w:t>
            </w:r>
            <w:r w:rsidR="00000000" w:rsidRPr="00000000" w:rsidDel="00000000">
              <w:rPr>
                <w:rtl w:val="0"/>
              </w:rPr>
              <w:t xml:space="preserve">). Šādu ēku pazemes stāvu platības ir ievērojami lielākas par 70m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nepiesaistīt attiecīgo grozījumu likumā "Par palīdzību dzīvokļa jautājumu risināšanā" veikšanu tikai valsts atbalsta programmas īstenošanas gadījumā (ja potenciālā atbalsta programma paredzētu pašvaldību iesaisti kā atbalsta sniedzējus). Proti, attiecīgi grozījumi un deleģējuma ietveršana likumā būtu atbalstāmi arī gadījumos, kad pašvaldība attiecīgo atbalstu vēlas un ir gatava sniegt kā līdzfinansējumu no sava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22.05.2024.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22.05.2024.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