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 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samazināt administratīvo slogu privātpersonām, kas piedalās administratīvajā procesā, nodrošināt lielāku privātpersonas tiesību aizsardzības līmeni, kā arī vienkāršot un efektivizēt administratīvo procesu iestādē un tiesā, Valsts kancelejas ieskatā likumprojekts uzskatāms par tiesību aktu ar augstu ietekmes līmeni. Līdz ar to aicinām apsvērt nepieciešamību un iespēju veikt tiesību akta ex-post ietekmes izvērtējumu trīs līdz piecu gadu laikā pēc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ex-post ietekmes izvērtēšana ir neatņemama politikas veidošanas un īstenošanas cikla sastāvdaļa. Tā ļauj pārliecināties, ka tiesību akts praksē darbojas atbilstoši sākotnējai iecerei, kas tas sasniedz izvirzīto mērķi un tam ir pozitīva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ministriju un citu institūciju kapacitāti patstāvīgi veikt tiesību aktu ex-post ietekmes izvērtēšanu, Valsts kanceleja plāno īstenot mērķtiecīgus kapacitātes stiprināšanas pasākumus, kas vērsti uz institucionālās kompetences pilnveidi un datos balstītas politikas veidošanas un īstenošanas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 ir izstrādājusi vadlīnijas tiesību aktu ex-post ietekmes izvērtēšanai praktiskai izmantošanai, kuras ir publiski pieejamas Ministru kabineta oficiālajā tīmekļvietnē:- https://www.mk.gov.lv/lv/expost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16.04.2026.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16.04.2026.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Atzinumi_25-TA-2124.docx</dc:title>
</cp:coreProperties>
</file>

<file path=docProps/custom.xml><?xml version="1.0" encoding="utf-8"?>
<Properties xmlns="http://schemas.openxmlformats.org/officeDocument/2006/custom-properties" xmlns:vt="http://schemas.openxmlformats.org/officeDocument/2006/docPropsVTypes"/>
</file>