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Ja ārzemnieks ieguvis vidējo izglītību ārpus Eiropas Savienības, Eiropas Ekonomikas zonas vai Šveices Konfederācijas, tas iesniegumam pievieno standartizētu akadēmisko spēju novērtēšanas testu (</w:t>
            </w:r>
            <w:r w:rsidR="00000000" w:rsidRPr="00000000" w:rsidDel="00000000">
              <w:rPr>
                <w:i w:val="1"/>
                <w:rtl w:val="0"/>
              </w:rPr>
              <w:t xml:space="preserve">Scholastic Assessment Test</w:t>
            </w:r>
            <w:r w:rsidR="00000000" w:rsidRPr="00000000" w:rsidDel="00000000">
              <w:rPr>
                <w:rtl w:val="0"/>
              </w:rPr>
              <w:t xml:space="preserve">)  rezultātu, kura minimālais punktu skaits nav zemāks par 1200.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RTU iebilst pret ieceri no 2027. gada 1. janvāra noteikt SAT testu ar vismaz 1200 punktiem kā vienīgo analītisko prasmju novērtēšanas instrumentu ārvalstu reflektantiem, kuri vidējo izglītību ieguvuši ārpus ES un EEZ. Nav pietiekami pamatots, ka tieši SAT būtu objektīvākais un universāli piemērojamākais risinājums, turklāt tā pieejamība un izmantošana dažādās valstīs būtiski atšķiras. Šāda prasība var radīt papildu administratīvus un finansiālus šķēršļus, nepamatoti sašaurināt kvalificētu reflektantu loku un mazināt Latvijas augstskolu starptautisko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RTU aicina noteikumos paredzēt vairākus starptautiski atzītus analītisko prasmju testus, no kuriem augstskolas atbilstoši studiju programmas specifikai varētu izvēlēties piemērotāko. Vienlaikus būtu saglabājama iespēja augstskolām, saskaņojot ar Izglītības un zinātnes ministriju, izmantot līdzvērtīgus institucionālus vai citus atzītus pārbaudījumus, lai izvērtētu reflektantu akadēmisko sagatavotību. SAT tādējādi varētu būt viens no pieļaujamajiem kritērijiem, nevis vienīgā obligātā prasība.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STEM studiju programmās reflektantu sagatavotības izvērtēšanai ir nepieciešami specializēti matemātikas un analītiskās domāšanas novērtēšanas instrumenti. Vadošo tehnisko universitāšu pieredze rāda, ka šim nolūkam tiek izmantoti dažādi starptautiski atzīti testi, piemēram, ALEKS (Assessment and Learning in Knowledge Spaces), kas ļauj precīzāk novērtēt studētāju gatavību inženierzinātņu un dabaszinātņu studijām. Vienlaikus būtiski ir nodrošināt arī pārbaudījumu uzticamību un akadēmisko godīgumu, tādēļ priekšroka dodama testiem, kurus iespējams kārtot klātienē vai attālināti, izmantojot drošus tiešsaistes uzraudzības (online proctoring) risinājumus un citus mūsdienīgus tehnoloģiskos līdzekļus negodprātīgas rīcības novēršanai eksāmena laikā. Šāda pieeja nodrošina augstu vērtēšanas kvalitāti un uzticamību neatkarīgi no izvēlētā testa, vienlaikus apliecinot, ka kvalitatīvu uzņemšanas procesu nodrošina nevis viena obligāta testa noteikšana, bet gan iespēja izmantot studiju jomai piemērotākos, drošāk administrējamos un starptautiski atzītus novērtēšanas instrumentus.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Liepiņa (RTU)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Ārzemnieks iesniegumam pievieno šo noteikumu pielikumā norādītās starptautiskās testēšanas institūcijas pēdējo trīs gadu laikā izsniegtu dokumentu, kas apliecina, ārzemnieka attiecīgās studiju programmas īstenošanas valodas prasmi šo noteikumu pielikumā minētajā minimālajā apjomā, ja studiju programmas īstenošanas valoda ir angļu valoda. Studijām svešvalodā, kas nav angļu valoda, ārzemnieks iesniegumam pievieno starptautiskās testēšanas institūcijas pēdējo trīs gadu laikā izsniegtu dokumentu, kas apliecina, ka ārzemnieka attiecīgās studiju programmas īstenošanas valodas prasme ir vismaz B2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RTU aicina precizēt angļu valodas testēšanas institūciju un atzīto testu sarakstu, kā arī saglabāt atbrīvojumu no valodas sertifikāta iesniegšanas personām, kuras iepriekšējo izglītību ieguvušas attiecīgās studiju programmas īstenošanas valodā. Pretējā gadījumā, piemēram, ASV, Kanādā, Apvienotajā Karalistē vai Īrijā izglītību ieguvušajiem tiktu noteikta formāla un nesamērīga prasība, kas nav nepieciešama viņu valodas prasmes objektīvai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Liepiņa (RTU)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14.08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14.08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Atzinumi_26-TA-1497.docx</dc:title>
</cp:coreProperties>
</file>

<file path=docProps/custom.xml><?xml version="1.0" encoding="utf-8"?>
<Properties xmlns="http://schemas.openxmlformats.org/officeDocument/2006/custom-properties" xmlns:vt="http://schemas.openxmlformats.org/officeDocument/2006/docPropsVTypes"/>
</file>