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23-TA-1044: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4.3.5.5. pasākuma "Pieeja tiesiskumam"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personāla atlīdzības izmaksas, kas ir projekta īstenošanas un vadības personāla atlīdzības izmaksas, tostarp veselības apdrošināšanas, veselības pārbaužu un redzes korekcijas līdzekļu kompensācijas izmaksas, šo noteikumu 15. punktā noteikto darbību īstenošanai. Izmaksas ir attiecināmas atbilstoši atbildīgās iestādes apstiprinātajai vienas vienības izmaksu metodikai, kas saskaņota ar vadošo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vārdus: "tostarp veselības apdrošināšanas, veselības pārbaužu un redzes korekcijas līdzekļu kompensācijas izmaksas", tā kā izmaksu tvērums ir noteikts Vadošās iestādes vadlīnijās Nr. 1.2. "Vadlīnijas attiecināmo izmaksu noteikšanai Eiropas Savienības kohēzijas politikas programmas 2021.-2027.gada plānošanas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17.2.2.2. ārvalstu komandējumu izmaksas, tai skaitā projekta vadības un projekta īstenošanas personālam, šo noteikumu 15.1., 15.2., 15.4. un 15.5. apakšpunktā minēto atbalstāmo darbību īstenošanai. Ārvalstu komandējumu izmaksas aprēķina un atlīdzina atbilstoši normatīvajiem aktiem par kārtību, kādā atlīdzināmi ar ārvalstu komandējumiem saistītie izdevumi;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ārvalstu komandējuma izmaksas atbilstoši Vadošās iestādes vadlīniju Nr. 1.2. "Vadlīnijas attiecināmo izmaksu noteikšanai Eiropas Savienības kohēzijas politikas programmas 2021.-2027.gada plānošanas periodā" 47.punkta (62.zemsvītrā atsaucē) minētajam, attiecināmas projekta vadītājam un projekta īstenošanas personālam, līdz ar to lūdzam atbilstoši veikt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17.2.4. darba vietas aprīkojuma iegādes vai nomas izmaksas ir attiecināmas projekta vadības un projekta īstenošanas personālam jaunu darba vietu radīšanai vai esošu darba vietu aprīkojuma atjaunošanai, uzturēšanai un remontam ne vairāk kā 3000 euro apmērā vienai darba vietai visā projekta īstenošanas laikā (ja projekta vadības un projekta īstenošanas personāls ir nodarbināts pilnu darba laiku, darba vietas aprīkojuma iegādes vai nomas izmaksas ir attiecināmas 100 procentu apmērā; ja projekta vadības un projekta īstenošanas personāls ir nodarbināts nepilnu darba laiku vai daļlaiku, darba vietas aprīkojuma iegādes izmaksas ir attiecināmas proporcionāli atlīdzības procentuālajam sadalījumam šo noteikumu 15.5. apakšpunktā minēto atbalstāmo darbību īstenošanai), ņemot vērā darbinieka iesaistes periodu projektā pret projekta kopējo īstenošanas ilgumu;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17.2.4.apakšpunkta redakciju. Vēršam uzmanību, ka saskaņā ar Finanšu ministrijas vadlīniju Nr.1.2. "Vadlīnijas attiecināmo izmaksu noteikšanai Eiropas Savienības kohēzijas politikas programmas 2021.-2027.gada plānošanas periodā" 9.1.apakšpunktu darba vietas aprīkojuma izmaksas var plānot kā tiešās attiecināmās izmaksas tikai jaunradītu darba vietu aprīkošanai vai gadījumos, ja esošo darba vietu aprīkojums ir nolietojies un tiek norakstīts.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vietas aprīkojuma iegādes īres vai nomas izmaksas ir attiecināmas projekta vadības un projekta īstenošanas personālam jaunu darba vietu radīšanai </w:t>
            </w:r>
            <w:r w:rsidR="00000000" w:rsidRPr="00000000" w:rsidDel="00000000">
              <w:rPr>
                <w:shd w:fill="#f1c40f" w:val="clear"/>
                <w:rtl w:val="0"/>
              </w:rPr>
              <w:t xml:space="preserve">vai gadījumos, ja esošo darba vietu aprīkojums ir nolietojies un tiek norakstīts</w:t>
            </w:r>
            <w:r w:rsidR="00000000" w:rsidRPr="00000000" w:rsidDel="00000000">
              <w:rPr>
                <w:rtl w:val="0"/>
              </w:rPr>
              <w:t xml:space="preserve">, uzturēšanai un remontam ne vairāk kā 3000 euro apmērā vienai darba vietai visā projekta īstenošanas laikā (ja projekta vadības un projekta īstenošanas personāls ir nodarbināts pilnu darba laiku, darba vietas aprīkojuma iegādes vai nomas izmaksas ir attiecināmas 100 procentu apmērā; ja projekta vadības un projekta īstenošanas personāls ir nodarbināts nepilnu darba laiku vai daļlaiku, darba vietas aprīkojuma iegādes izmaksas ir attiecināmas proporcionāli atlīdzības procentuālajam sadalījumam šo noteikumu 15.5. apakšpunktā minēto atbalstāmo darbību īstenošanai. </w:t>
            </w:r>
            <w:r w:rsidR="00000000" w:rsidRPr="00000000" w:rsidDel="00000000">
              <w:rPr>
                <w:shd w:fill="#f1c40f" w:val="clear"/>
                <w:rtl w:val="0"/>
              </w:rPr>
              <w:t xml:space="preserve">Savukārt </w:t>
            </w:r>
            <w:r w:rsidR="00000000" w:rsidRPr="00000000" w:rsidDel="00000000">
              <w:rPr>
                <w:shd w:fill="#f1c40f" w:val="clear"/>
                <w:rtl w:val="0"/>
              </w:rPr>
              <w:t xml:space="preserve">daļlaika</w:t>
            </w:r>
            <w:r w:rsidR="00000000" w:rsidRPr="00000000" w:rsidDel="00000000">
              <w:rPr>
                <w:shd w:fill="#f1c40f" w:val="clear"/>
                <w:rtl w:val="0"/>
              </w:rPr>
              <w:t xml:space="preserve"> izmaksu attiecināšanas principa gadījumā</w:t>
            </w:r>
            <w:r w:rsidR="00000000" w:rsidRPr="00000000" w:rsidDel="00000000">
              <w:rPr>
                <w:rtl w:val="0"/>
              </w:rPr>
              <w:t xml:space="preserve"> jāņem vērā darbinieka iesaistes periodu projektā pret projekta kopējo īstenošanas ilgumu;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17.2.8. informatīvo un publicitātes pasākumu izmaksas saskaņā ar Eiropas Parlamenta un Padomes 2021. gada 24. jūnija Regulas (ES) 2021/1060 47. pantu un 50. pantu un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 šo noteikumu 15.1., 15.2., 15.3, 15.4. un 15.6. apakšpunktos minēto atbalstāmo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17.2.8.apakšpunktā svītrot atsauces uz  noteikumu 15.1., 15.2., 15.3, 15.4.apakšpunktu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Pasākuma atbalstāmo darbību ietvaros ir attiecināms pievienotās vērtības nodoklis attiecināmajām izmaksām atbilstoši Regulas Nr. 2021/1060 64.panta 1.punkta "c" apakšpunkta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papildināt ar skaidrojumu, norādot, ka tiks nodrošināts dubultā finansējuma novēršanas risks attiecībā uz PVN līdzekļu attiecināšanu/atgūšanu projektiem, kuru kopējās izmaksas ir mazākas par 5 milj.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iesnieguma vērtēšanā piedalās divi atbildīgās iestādes pārstāvji, viens Tieslietu ministrijas pārstāvis un sadarbības iestādes pārstāvji, bet vadošās iestādes pārstāvis nepieciešamības gadījumā var piedalīties novērotāja statusā.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22.punktu. Vēršam uzmanību, ka kārtība, kādā sadarbības iestādē izveido vērtēšanas komisiju izriet no Eiropas Savienības fondu 2021-2027.gada plānošanas perioda vadības likuma 22.panta un atlases nolikumā ietvertā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Īstenojot projektu,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2023.gada 13.jūlija protokollēmuma Nr.36 85. § 3.punktā, noteikto, kas paredz, ka, lai veicinātu Eiropas Savienības fondu projektu izvērtējuma par izmaksu un ieguvumu analīzi veikšanu ne tikai gadījumos, kad Eiropas Savienības fondu projekta ietvaros plānots gūt neto ieņēmumus, atbildīgā iestāde, izstrādājot Ministru kabineta noteikumu projektu par specifiskā atbalsta mērķa īstenošanu, paredz nepieciešamību finansējuma saņēmējam </w:t>
            </w:r>
            <w:r w:rsidR="00000000" w:rsidRPr="00000000" w:rsidDel="00000000">
              <w:rPr>
                <w:b w:val="1"/>
                <w:rtl w:val="0"/>
              </w:rPr>
              <w:t xml:space="preserve">veikt izvērtējumu par izmaksu un ieguvumu analīzi</w:t>
            </w:r>
            <w:r w:rsidR="00000000" w:rsidRPr="00000000" w:rsidDel="00000000">
              <w:rPr>
                <w:rtl w:val="0"/>
              </w:rPr>
              <w:t xml:space="preserve"> Eiropas Savienības fondu projektiem, kuru atlase paredzēta ierobežotas projektu iesniegumu atlases veidā un projekta kopējās izmaksas (ieskaitot PVN) pārsniedz 1 miljonu euro, vienlaikus, atbildīgā iestāde minēto risinājumu var nepiemērot, ja to objektīvi un izvērsti pamato Ministru kabineta noteikumu par specifisko atbalsta mērķa īstenošanu anotācijā, aicinām izvērtēt un, ja attiecināms, papildināt noteikumu projektu ar pienākumu finansējuma saņēmējam veikt izvērtējumu par izmaksu un ieguvumu analīzi vai papildināt anotāciju ar skaidrojumu risinājuma izvēlei.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Īstenojot projektu,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punktu, kas nosaka pienākumu finansējuma saņēmējam izstrādā nosacījumus, kā tas pārliecinās par interešu konflikta (ievērojot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966/20122018/1046 61. pantā noteikto), krāpšanas un korupcijas risku neesamību, tostarp identificē apstākļus, kuri izraisa vai var izraisīt interešu konfliktu un krāpšanas un korupcijas riskus, kas rada apdraudējumu vai kaitējumu projekta īstenošanā, nosaka veicamos pasākumus un izstrādā darbības plānu interešu konflikta un krāpšanas un korupcijas risku preventīvai novēršanai un gadījumiem, kad interešu konflikts, krāpšana vai korupcija ir atklāta. Kā arī, ka finansējuma saņēmējs paraksta apliecinājumu par interešu konflikta neesamību.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 reorganizācijas gadījumā nodrošina ar vienošanos par projekta īstenošanu uzņemto saistību nodošanu  saistību pārņēmējam, iepriekš to saskaņojot ar sadarbības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24.10.apakšpunktu, ka reorganizācijas gadījumā, saistību pārņemšana tiek saskaņota arī ar atbildīgo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1.3.sadaļas apakšadaļas "Datu apstrāde" skaidrojumu, ka dati, izpildot Eiropas Parlamenta un Padomes 2021. gada 24. jūnija Regulas (ES) 2021/1057, ar ko izveido Eiropas Sociālo fondu Plus (ESF+) un atceļ Regulu (ES) Nr. 1296/2013 prasības, tiks iesniegti Eiropas Komisijai, kā arī lai nodrošinātu uzraudzību, izvērtēšanu, finanšu pārvaldību, pārbaudi un revīziju. Ar attiecīgo informāciju lūdzam papildināt arī anotācijas 8.1.13.sadaļu.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2021.- 2027.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4.3.5.5. pasākuma "Pieeja tiesiskumam"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protokollēmuma projektu  ar punktu, kas paredz, ka finansējuma saņēmēja reorganizācijas gadījumā - nodrošināt ar vienošanos (par ESF+ projekta īstenošanu) uzņemto saistību nodošanu tā saistību pārņēmējam, iepriekš to saskaņojot ar sadarbības iestādi. Tādējādi iegūstošā Tiesu administrācija kā tiesību pārņēmējs pārņem visas ar projektu uzņemtās saistības un ir atbildīga par projekta mērķu sasniegšanu un uzturēšanu, utt. Tāpat aicinām papildināt anotāciju ar īss izklāsts par reorganizāciju, vienlaikus iekļaujot tajā norādes par Ministru kabineta 2023. gada 14. jūlija rīkojumu Nr. 434 (prot. Nr. 36 32. §) "Par Juridiskās palīdzības administrāciju"*,  - </w:t>
            </w:r>
            <w:r w:rsidR="00000000" w:rsidRPr="00000000" w:rsidDel="00000000">
              <w:rPr>
                <w:b w:val="1"/>
                <w:rtl w:val="0"/>
              </w:rPr>
              <w:t xml:space="preserve">ar 2024. gada 1. janvāri likvidēs</w:t>
            </w:r>
            <w:r w:rsidR="00000000" w:rsidRPr="00000000" w:rsidDel="00000000">
              <w:rPr>
                <w:rtl w:val="0"/>
              </w:rPr>
              <w:t xml:space="preserve"> Tieslietu ministrijas pakļautībā esošo </w:t>
            </w:r>
            <w:r w:rsidR="00000000" w:rsidRPr="00000000" w:rsidDel="00000000">
              <w:rPr>
                <w:b w:val="1"/>
                <w:rtl w:val="0"/>
              </w:rPr>
              <w:t xml:space="preserve">Juridiskās palīdzības administrāciju (JPA)</w:t>
            </w:r>
            <w:r w:rsidR="00000000" w:rsidRPr="00000000" w:rsidDel="00000000">
              <w:rPr>
                <w:rtl w:val="0"/>
              </w:rPr>
              <w:t xml:space="preserve">,</w:t>
            </w:r>
            <w:r w:rsidR="00000000" w:rsidRPr="00000000" w:rsidDel="00000000">
              <w:rPr>
                <w:b w:val="1"/>
                <w:rtl w:val="0"/>
              </w:rPr>
              <w:t xml:space="preserve"> pievienojot to </w:t>
            </w:r>
            <w:r w:rsidR="00000000" w:rsidRPr="00000000" w:rsidDel="00000000">
              <w:rPr>
                <w:rtl w:val="0"/>
              </w:rPr>
              <w:t xml:space="preserve">Tieslietu ministrijas padotībā esošajai </w:t>
            </w:r>
            <w:r w:rsidR="00000000" w:rsidRPr="00000000" w:rsidDel="00000000">
              <w:rPr>
                <w:b w:val="1"/>
                <w:rtl w:val="0"/>
              </w:rPr>
              <w:t xml:space="preserve">Tiesu administrācijai (TA)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*https://m.likumi.lv/ta/id/343823-par-juridiskas-palidzibas-administraciju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 ietvaros pieejamais kopējais finansējums ar elastības finansējumu ir 1 305 000 euro (tai skaitā elastības finansējuma apjoms 205 896 euro), tai skaitā ESF+ finansējums 1 109 250 euro (tai skaitā elastības finansējuma apjoms 175 012 euro) un valsts budžeta finansējums 195 750 euro (tai skaitā elastības finansējuma apjoms 30 884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9.punktā vārdus "pieejamais kopējais finansējums" ar vārdiem "plānotais kopējais attiecināmais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w:t>
            </w:r>
            <w:r w:rsidR="00000000" w:rsidRPr="00000000" w:rsidDel="00000000">
              <w:rPr>
                <w:b w:val="1"/>
                <w:rtl w:val="0"/>
              </w:rPr>
              <w:t xml:space="preserve">plānotais kopējais attiecināmais finansējums</w:t>
            </w:r>
            <w:r w:rsidR="00000000" w:rsidRPr="00000000" w:rsidDel="00000000">
              <w:rPr>
                <w:rtl w:val="0"/>
              </w:rPr>
              <w:t xml:space="preserve"> ir XX euro (tai skaitā elastības finansējuma apjoms XX euro), tai skaitā ESF+ finansējums XX euro (tai skaitā elastības finansējuma apjoms XX euro) un valsts budžeta </w:t>
            </w:r>
            <w:r w:rsidR="00000000" w:rsidRPr="00000000" w:rsidDel="00000000">
              <w:rPr>
                <w:b w:val="1"/>
                <w:rtl w:val="0"/>
              </w:rPr>
              <w:t xml:space="preserve">līdzfinansējums</w:t>
            </w:r>
            <w:r w:rsidR="00000000" w:rsidRPr="00000000" w:rsidDel="00000000">
              <w:rPr>
                <w:rtl w:val="0"/>
              </w:rPr>
              <w:t xml:space="preserve"> – </w:t>
            </w:r>
            <w:r w:rsidR="00000000" w:rsidRPr="00000000" w:rsidDel="00000000">
              <w:rPr>
                <w:b w:val="1"/>
                <w:rtl w:val="0"/>
              </w:rPr>
              <w:t xml:space="preserve">ne mazāk kā </w:t>
            </w:r>
            <w:r w:rsidR="00000000" w:rsidRPr="00000000" w:rsidDel="00000000">
              <w:rPr>
                <w:rtl w:val="0"/>
              </w:rPr>
              <w:t xml:space="preserve">XX euro (tai skaitā elastības finansējuma apjoms XX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Projekta iesniegumā pasākuma īstenošanai kopējo pasākumā pieejamo finansējumu līdz 2025.gada 31.decembrim plāno ne vairāk kā 1 099 104 euro apmērā, tai skaitā ESF+ finansējumu – 934 238 euro apmērā, valsts budžeta finansējumu – 164 866 euro apmērā, paredzot šo noteikumu 5. punktā minēto rādītāju plānojumu.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9.1.apakšpunktu norādītajā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iesniegumā pasākuma īstenošanai kopējo pasākuma pieejamo finansējumu plāno ne vairāk kā 1 099 104 euro apmērā, tai skaitā ESF+ finansējumu – 934 238 euro apmērā, valsts budžeta līdzfinansējumu – 164 866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Atbildīgā iestāde no 2026. gada 1. janvāra pēc Eiropas Komisijas lēmuma par vidusposma pārskatu var ierosināt palielināt pasākumam pieejamo kopējo finansējumu līdz šo noteikumu 9. punktā minētajam plānotajam maksimālajam apmēram.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noteikumu projekta 9.2.apakšpunktu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iestāde pēc Eiropas Komisijas lēmuma par vidusposma pārskatu var ierosināt no 2026. gada 1. janvāra palielināt pasākumam pieejamo kopējo finansējumu līdz šo noteikumu 9. punktā minētajam plānotajam kopējam finansējuma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 projekta informatīvie un obligātās publicitātes pasākumi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vadošās iestādes vadlīnijās "Vadlīnijas Ministru kabineta noteikumu par specifiskā atbalsta mērķa īstenošanu izstrādei Eiropas Savienības fondu 2021.—2027. gada plānošanas periodā" lietoto jēdzienu "komunikācijas un vizuālās identitātes prasību nodrošināšanas nosacījumi", aicinām izvērtēt un pēc nepieciešamības precizēt noteikumu projekta 15.6., 17.2.8. un 24.1.apakšpunktus. Vienlaikus lūdzam attiecīgo informāciju par informācijas un publicitātes pasākumu nodrošināšanu (komunikācijas un vizuālās identitātes prasību nodrošināšanas nosacījumu ievērošanu), tostarp atsauces uz attiecīgajiem dokumentiem norādīt arī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personāla atlīdzības izmaksas, kas ir projekta īstenošanas un vadības personāla atlīdzības izmaksas, tostarp veselības apdrošināšanas, veselības pārbaužu un redzes korekcijas līdzekļu kompensācijas izmaksas, šo noteikumu 15. punktā noteikto darbību īstenošanai. Izmaksas ir attiecināmas atbilstoši atbildīgās iestādes apstiprinātajai vienas vienības izmaksu metodikai, kas saskaņota ar vadošo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vai MK noteikumu 17.1.apakšpunktā minētā metodika tiks apstiprināta līdz atlases izsludināšanai. Gadījumā, ja līdz projektu iesniegumu atlases izsludināšanai vienkāršoto izmaksu metodika nebūs apstiprināta, lūdzam papildināt anotāciju, ka projekta iesniegumu atlasē netiks veikta personāla atlīdzības izmaksu apmēra pamatotības analīze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17.2.2.2. ārvalstu komandējumu izmaksas, tai skaitā projekta vadības un projekta īstenošanas personālam, šo noteikumu 15.1., 15.2., 15.4. un 15.5. apakšpunktā minēto atbalstāmo darbību īstenošanai. Ārvalstu komandējumu izmaksas aprēķina un atlīdzina atbilstoši normatīvajiem aktiem par kārtību, kādā atlīdzināmi ar ārvalstu komandējumiem saistītie izdevumi;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atrunāt MK projektā vai ārvalstu komandējumi paredzēti tikai ES vai arī ārpus 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Zemture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17.2.5. transporta izmaksas šo noteikumu 15.1., 15.2. un 15.4. apakšpunktos minēto atbalstāmo darbību īstenošanai, piemērojot vadošās iestādes izstrādāto vienas vienības izmaksu metodiku "Vienas vienības izmaksu standarta likmes aprēķina un piemērošanas metodika 1 km izmaksām darbības programmas "Izaugsme un nodarbinātība" un Eiropas Savienības kohēzijas politikas programmas 2021.–2027.gadam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uz "transporta pakalpojumu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17.2.5. transporta izmaksas šo noteikumu 15.1., 15.2. un 15.4. apakšpunktos minēto atbalstāmo darbību īstenošanai, piemērojot vadošās iestādes izstrādāto vienas vienības izmaksu metodiku "Vienas vienības izmaksu standarta likmes aprēķina un piemērošanas metodika 1 km izmaksām darbības programmas "Izaugsme un nodarbinātība" un Eiropas Savienības kohēzijas politikas programmas 2021.–2027.gadam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vai transporta izmaksas paredzētas projekta vadības un/vai īstenošanas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17.2.7. biroja, kancelejas preču, iekārtu un inventāra, tai skaitā palīgmateriālu, izmaksas līdz 500 euro par vienību šo noteikumu 15.1., 15.2. un 15.4. apakšpunktos minēto atbalstāmo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nosegt šīs izmaksas no netiešajām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Zemture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17.2.8. informatīvo un publicitātes pasākumu izmaksas saskaņā ar Eiropas Parlamenta un Padomes 2021. gada 24. jūnija Regulas (ES) 2021/1060 47. pantu un 50. pantu un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 šo noteikumu 15.1., 15.2., 15.3, 15.4. un 15.6. apakšpunktos minēto atbalstāmo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17.2.8 punktu, aizstājot vārdus un skaitļus "Eiropas Parlamenta un Padomes 2021. gada 24. jūnija Regulas (ES) 2021/1060 47. pantu un 50. pantu un kārtību, kādā Eiropas Savienības fondu vadībā iesaistītās institūcijas nodrošina šo fondu ieviešanu 2021.–2027. gada plānošanas periodā" ar vārdiem un skaitļiem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Regulas Nr.2021/1060) 47. un 50.pantu un normatīvajiem aktiem, kas nosaka kārtību, kādā Eiropas Savienības fondu vadībā iesaistītās institūcijas nodrošina šo fondu ieviešanu 2021.–2027. gada plānošana". Atbilstoši lūdzam precizēt arī noteikumu projekta 24.1.apakšpunktu.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uzkrāj informāciju par atbalstu saņēmušām šo noteikumu 3. punktā minētajām personām un reizi gadā iesniedz sadarbības iestādē apkopotus datus par ESF+ kopējiem tūlītējiem rezultāta rādītājiem atbilstoši Eiropas Parlamenta un Padomes 2021. gada 24. jūnija Regulas (ES) 2021/1057, ar ko izveido Eiropas Sociālo fondu Plus (ESF+) un atceļ Regulu (ES) Nr. 1296/2013 1. pielikumam un saskaņā ar 2023. gada 21. marta Ministru kabineta noteikumu Nr. 135 "Eiropas Savienības fondu projektu pārbaužu veikšanas kārtība 2021.–2027. gada plānošanas periodā" 1.pielikumu;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24.2.apašpunktā skaitļus un vārdus "2023. gada 21. marta Ministru kabineta noteikumu Nr. 135 "Eiropas Savienības fondu projektu pārbaužu veikšanas kārtība 2021.–2027. gada plānošanas periodā" ar vārdiem un skaitļiem "normatīvajiem aktiem, kas nosaka Eiropas Savienības fondu projektu pārbaužu veikšanas kārtība 2021.–2027. gada plānošanas periodā", lai izvairītos no tehniskiem grozījumiem šajos noteikumos, ja perioda ietvaros tiks pārizdoti attiecīgie Ministru kabineta noteikumi, kas nosaka pārbaužu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uzkrāj informāciju par atbalstu saņēmušām šo noteikumu 3. punktā minētajām personām un reizi gadā iesniedz sadarbības iestādē apkopotus datus par ESF+ kopējiem tūlītējiem rezultāta rādītājiem atbilstoši Eiropas Parlamenta un Padomes 2021. gada 24. jūnija Regulas (ES) 2021/1057, ar ko izveido Eiropas Sociālo fondu Plus (ESF+) un atceļ Regulu (ES) Nr. 1296/2013 1. pielikumam un saskaņā ar 2023. gada 21. marta Ministru kabineta noteikumu Nr. 135 "Eiropas Savienības fondu projektu pārbaužu veikšanas kārtība 2021.–2027. gada plānošanas periodā" 1.pielikumu;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2022. gada 13. decembra sēdes protokollēmumu (prot. Nr. 64 6. § 3. punkts), lūdzam izvērtēt un, ja attiecināms, papildināt projektu ar tiesisko ietvaru vai tehnisko mehānismu, kādā finansējuma saņēmējs var pārbaudīt mērķa grupas dalībnieka atbilstību dalībai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24.7. projekta ietvaros nepieciešamos ārpakalpojumus pērk, ievērojot normatīvos aktus publisko iepirkumu jomā, īstenojot atklātu, pārredzamu, nediskriminējošu un konkurenci nodrošinošu procedūru un, kur tas ir attiecināms, īsteno sociāli atbildīgu iepirkumu un inovāciju publisko iepirkumu;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24.7.apakšpunktā vārdus "inovāciju publisko iepirkumu" ar vārdiem "</w:t>
            </w:r>
            <w:r w:rsidR="00000000" w:rsidRPr="00000000" w:rsidDel="00000000">
              <w:rPr>
                <w:b w:val="1"/>
                <w:rtl w:val="0"/>
              </w:rPr>
              <w:t xml:space="preserve">inovatīvu</w:t>
            </w:r>
            <w:r w:rsidR="00000000" w:rsidRPr="00000000" w:rsidDel="00000000">
              <w:rPr>
                <w:rtl w:val="0"/>
              </w:rPr>
              <w:t xml:space="preserve"> publisko iepirkumu", atbilstoši Iepirkumu uzraudzības biroja lietotajai terminoloģijai, kā arī sagatavotajai informācijai par Inovatīvo publisko iepirkumu. Skat. šeit: https://www.iub.gov.lv/lv/inovativais-iepirkums?utm_source=https%3A%2F%2Fwww.google.com%2F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24.9. ja projekta īstenošanas laikā sadārdzinās projekta plānotās attiecināmās izmaksas, sedz papildu izmaksas no savā rīcībā esošiem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24.9. apakšpunktu, jo tas nav attiecināms uz gadījumiem, kad finansējuma saņēmējs ir valsts pārvaldes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1.3.sadaļas pēdējo rindkopu ar norādi, ka īsāka termiņa noteikšana lēmuma pieņemšanai par projekta iesnieguma apstiprināšanu, nekā tas ir paredzēts Eiropas Savienības fondu 2021. – 2027. gada plānošanas perioda vadības likumā, ir labvēlīgāks regulējums potenciālajam projekta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ar informāciju par projekta plānoto kopējo finansējumu un pieejamo kopējo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ietverto aprakstu par vienkāršoto izmaksu metodiku personāla izmaksu segšanu precizēt un svītrot teikumu "Metodikā noteiktās likmes aprēķins ir taisnīgs, objektīvs, pārbaudāms, jo ir veikts saskaņā ar Valsts un pašvaldību institūciju amatpersonu un darbinieku atlīdzības likumā noteikto un JPA 2023. gada 27. marta iekšējos noteikumos Nr. 1-7.23/1 "Nodarbināto darba samaksas un sociālo garantiju noteikšanas kārtība" noteikto aprēķinu.", ņemot vērā, ka šo informāciju norāda metodikā, turklāt uz doto brīdi tā vēl nav apstiprināta.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sadaļā "Atbalstāmās izmaksas", precizēt, ka netiešo izmaksu izlietojuma mērķis ir norādīts Vadošās iestādes vadlīnijās Nr.1.1 "Vadlīnijas par vienkāršoto izmaksu izmantošanas iespējām un to piemērošana Eiropas Savienības kohēzijas politikas programmas 2021.–2027.gadam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risinājuma apraksts ir minētas visas MK projektā atbalstāmās darbības, izņemot darbību 15.6. projekta informatīvie un obligātās publicitātes pasākumi par projekta īstenošanu. Lūdzam to arī minēt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Zemture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Eiropas Savienības fondu pienesumu tautsaimniecībai. Vēršam uzmanību, ka atbilstoši Finanšu ministrijas š.g. 31.marta vēstulei Nr. 5.1-24/21/ 1076, tika norādīts, ka par investīciju īstenošanu atbildīgajām iestādēm, izstrādājot un virzot saskaņošanai normatīvo regulējumu attiecīgās investīcijas īstenošanai, ir jāizstrādā sākotnējās ietekmes novērtējums (anotācija)[1], t.sk. izvērtējot normatīvā akta ietekmi uz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pārliecinoši pamatotu un ilustrētu plānoto investīciju pienesumu tautsaimniecībai, lūdzam par investīciju īstenošanu atbildīgās iestādes normatīvā akta ietekmi uz tautsaimniecību vērtēt pēc būtības un analīzi atspoguļot anotācijā[2], norādot pēc iespējas izmērāmus rādītājus, kā arī novērtējot konkrētus aspektus par plānoto ieguldījumu sagaidāmo ietekmi un efektivitāti, t.sk. faktiski sagaidāmos rezultātus[3] pēc investīciju īstenošanas. Investīciju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plāna 2021.–2027.gadam noteiktajiem mērķiem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Ministru kabineta 2021.gada 7.septembra noteikumos Nr. 617 “Tiesību akta projekta sākotnējās ietekmes izvērtēšanas kārtība” 14.punktā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Atveseļošanas fonda investīciju gadījumā informācija iekļaujama arī informatīvajos ziņojumos par Atveseļošanas fonda reformas vai investīcijas īstenošanu,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Papildus Eiropas Savienības kohēzijas politikas programmā 2021.-2027.gadam noteiktajiem rādītājiem un Ministru kabineta noteikumos par specifisko atbalsta mērķu īstenošanu iekļautajiem nacionālajiem rādītājiem, papildus Atveseļošanas un noturības mehānisma Darbības kārtībā noteiktajiem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3.sadaļu "Cita informācija", norādot  no kādiem līdzekļiem tiks nodrošināta pasākuma rezultātu/ rādītāju </w:t>
            </w:r>
            <w:r w:rsidR="00000000" w:rsidRPr="00000000" w:rsidDel="00000000">
              <w:rPr>
                <w:b w:val="1"/>
                <w:rtl w:val="0"/>
              </w:rPr>
              <w:t xml:space="preserve">ilgtspēja </w:t>
            </w:r>
            <w:r w:rsidR="00000000" w:rsidRPr="00000000" w:rsidDel="00000000">
              <w:rPr>
                <w:rtl w:val="0"/>
              </w:rPr>
              <w:t xml:space="preserve">vai uzturēšana, ievērojot to, ka tiek paredzēti ieguldījumi IKT/ IT infrastruktūrā. Minētais vērtējams kontekstā ar HP “Klimatdrošināšana” prasībām – KNR* 73. panta 2. punkta j) apakšpunktu, kurā noteikts, ka klimatdrošināšana tiek veikta investīcijām infrastruktūrā, kuras paredzamais kalpošanas laiks ir vismaz pieci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https://eur-lex.europa.eu/legal-content/LV/TXT/?uri=CELEX%3A32021R1060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norādīto informāciju, ievērojot, ka Eiropas Savienības kohēzijas politikas programma 2021.–2027.gadam tika norādīti rādītāji, kādus sasniegs par plānoto finansējumu (t.i. iesk. elastības finansējumu). Līdz ar to anotācijas 6.punktā būti norādāms 4.3.5.5.pasākuma "Pieeja tiesiskumam" ietvaros plānotais kopējais attiecināmais finansējums sadalījumā pa finansējuma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 Pasākuma ietvaros plānotais kopējais attiecināmais finansējums ir 1 305 000 euro, tai skaitā ESF+ finansējums 1 109 250 euro un valsts budžeta līdzfinansējums – ne mazāk kā 195 750 euro. Maksimālā ESF+ finansējuma intensitāte ir 85 % no projektam plānotā kopējā attiecināmā finansējuma, nepārsniedzot izmaksu un ieguvumu analīzē (ja attiecināms) aprēķināto finansējuma deficīta procentuālo apmēru, un nacionālais līdzfinansējums nav mazāks par 15 % no projektam plānotā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3.sadaļas tabulas 6.punktā norādītais Eiropas Sociāla fonda Plus finansējums un valsts budžeta finansējums 2026.gadam nesakrīt ar 1. un 3.punktā norādīto, līdz ar to lūdzam precizēt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tabulas 5.1.apakšpunktā norādīt summas ar mīnus 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punktā “Cita informācija” trešo rindkopu, norādot gadu, kurā šobrīd tiek plānots pieprasīt uzturēšanas izdevumus, vienlaikus precizējot, ka uzturēšanas izdevumi tiks pieprasīti iekļaušanai Tieslietu ministrijas bāzes izdevumos normatīvajos aktos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ievērot Ministru prezidenta rezolūcijā[1]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Prezidenta 2021.gada 7.septembra rezolūcija Nr. 2021-1.1.1./50-50 “Izstrādājot specifisko atbalsta mērķu un to pasākumu ieviešanas nosacījumus Eiropas Savienības fondu 2021.—2027.gada plānošanas perioda atbalsta saņemšanai institūcijas atbildībā esošajās jomās, lūdzu jēgpilni iesaistīt attiecīgajā jomā strādājošās biedrības un nodibinājumus. Pēc specifisko atbalsta mērķu un to pasākumu ieviešanas nosacījumu apstiprināšanas Ministru kabinetā, lūdzu sagatavot un sniegt informāciju par sabiedrības pārstāvju iesaisti normatīvā regulējuma izstrādē Nevalstisko organizāciju un Ministru kabineta sadarbības memoranda īstenošanas padomes sekretariātam (uz e-pastu: nvo@mk.gov.lv).”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23-TA-1044</w:t>
    </w:r>
    <w:r>
      <w:br/>
    </w:r>
    <w:r w:rsidR="00000000" w:rsidRPr="00000000" w:rsidDel="00000000">
      <w:rPr>
        <w:rtl w:val="0"/>
      </w:rPr>
      <w:t xml:space="preserve">Izdrukāts 07.08.2023. 15.51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23-TA-1044</w:t>
    </w:r>
    <w:r>
      <w:br/>
    </w:r>
    <w:r w:rsidR="00000000" w:rsidRPr="00000000" w:rsidDel="00000000">
      <w:rPr>
        <w:rtl w:val="0"/>
      </w:rPr>
      <w:t xml:space="preserve">Izdrukāts 07.08.2023. 15.51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Atzinumi_23-TA-1044.docx</dc:title>
</cp:coreProperties>
</file>

<file path=docProps/custom.xml><?xml version="1.0" encoding="utf-8"?>
<Properties xmlns="http://schemas.openxmlformats.org/officeDocument/2006/custom-properties" xmlns:vt="http://schemas.openxmlformats.org/officeDocument/2006/docPropsVTypes"/>
</file>