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16. un 18. punktu, tiesību akta projektam ir jāvērtē ietekme uz administratīvo slogu un apstiprinoša rezultāta gadījumā jāveic administratīvo izmaksu vai atbilstības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aktā veiktās izmaiņas pilnībā vai daļā tiek iekļautas citos normatīvajos aktos, ir vērtējams vai ar tiesību akta projektā veiktajām izmaiņām tiek ietekmēts administratīvais slogs, proti, vai izmainās informācijas sniegšanas pienākuma apjoms un atbilstību izmaksu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likumprojektā iekļauto informācijas sniegšanas pienākumu un atbilstības prasību vērtējumu un atbilstoši vērtējumam veikt administratīvo izmaksu un atbilstības izmaksu monetāru novērtējumu, kas aizpildāms par fiziskām un juridiskām personām anotācijas 2. sadaļas 2.3., 2.4. apakšpunktā un valsts vai pašvaldību institūcijām 7. sadaļas 7.2.,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tiesību akta normas, kas satur informācijas sniegšanas pienākumus vai atbilstības prasības ir iekļautas citos normatīvos aktos, lūdzu, izvērtējumā iekļaut informāciju par konkrētām normām un tiem tiesību aktiem, kuros tās ir iekļautas.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01.11.2024.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01.11.2024.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Atzinumi_24-TA-1182.docx</dc:title>
</cp:coreProperties>
</file>

<file path=docProps/custom.xml><?xml version="1.0" encoding="utf-8"?>
<Properties xmlns="http://schemas.openxmlformats.org/officeDocument/2006/custom-properties" xmlns:vt="http://schemas.openxmlformats.org/officeDocument/2006/docPropsVTypes"/>
</file>