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0C574F1" w14:textId="77777777" w:rsidR="00DE3362" w:rsidRDefault="00F31BF5">
      <w:pPr>
        <w:pStyle w:val="titleparagraph"/>
        <w:contextualSpacing w:val="0"/>
      </w:pPr>
      <w:r>
        <w:t>24-TA-42: Noteikumu projekts (Grozījumi)</w:t>
      </w:r>
    </w:p>
    <w:p w14:paraId="022405D1" w14:textId="77777777" w:rsidR="00DE3362" w:rsidRDefault="00F31BF5">
      <w:pPr>
        <w:pStyle w:val="boldparagraph"/>
        <w:contextualSpacing w:val="0"/>
      </w:pPr>
      <w:r>
        <w:t xml:space="preserve">Grozījumi Ministru kabineta 2023. gada 18. aprīļa noteikumos Nr. 197 "Atbalsta piešķiršanas kārtība Eiropas Lauksaimniecības fonda lauku attīstībai </w:t>
      </w:r>
      <w:proofErr w:type="spellStart"/>
      <w:r>
        <w:t>platībatkarīgo</w:t>
      </w:r>
      <w:proofErr w:type="spellEnd"/>
      <w:r>
        <w:t xml:space="preserve"> un </w:t>
      </w:r>
      <w:proofErr w:type="spellStart"/>
      <w:r>
        <w:t>dzīvniekatkarīgo</w:t>
      </w:r>
      <w:proofErr w:type="spellEnd"/>
      <w:r>
        <w:t xml:space="preserve"> saistību īstenošanai"</w:t>
      </w:r>
    </w:p>
    <w:p w14:paraId="3AFFC23F" w14:textId="77777777" w:rsidR="00DE3362" w:rsidRDefault="00F31BF5">
      <w:pPr>
        <w:pStyle w:val="titleparagraph"/>
        <w:contextualSpacing w:val="0"/>
      </w:pPr>
      <w:r>
        <w:t>TA saskaņojamie dokumenti</w:t>
      </w:r>
    </w:p>
    <w:p w14:paraId="00CBC1E3" w14:textId="77777777" w:rsidR="00DE3362" w:rsidRDefault="00F31BF5">
      <w:r>
        <w:t>Noteikumu (grozījumu) projekts 1.0</w:t>
      </w:r>
    </w:p>
    <w:p w14:paraId="23D9C129" w14:textId="77777777" w:rsidR="00DE3362" w:rsidRDefault="00F31BF5">
      <w:r>
        <w:t>Anotācija (</w:t>
      </w:r>
      <w:proofErr w:type="spellStart"/>
      <w:r>
        <w:t>ex-ante</w:t>
      </w:r>
      <w:proofErr w:type="spellEnd"/>
      <w:r>
        <w:t>) 1.0</w:t>
      </w:r>
    </w:p>
    <w:p w14:paraId="73D4155D" w14:textId="77777777" w:rsidR="00DE3362" w:rsidRDefault="00F31BF5">
      <w:r>
        <w:t xml:space="preserve">MK sēdes </w:t>
      </w:r>
      <w:proofErr w:type="spellStart"/>
      <w:r>
        <w:t>protokollēmuma</w:t>
      </w:r>
      <w:proofErr w:type="spellEnd"/>
      <w:r>
        <w:t xml:space="preserve"> projekts 1.0</w:t>
      </w:r>
    </w:p>
    <w:p w14:paraId="2A448377" w14:textId="77777777" w:rsidR="00DE3362" w:rsidRDefault="00F31BF5">
      <w:r>
        <w:t>Noteikumu konsolidētā versija 3.0</w:t>
      </w:r>
    </w:p>
    <w:p w14:paraId="2174330A" w14:textId="77777777" w:rsidR="00DE3362" w:rsidRDefault="00F31BF5">
      <w:pPr>
        <w:pStyle w:val="titleparagraph"/>
        <w:contextualSpacing w:val="0"/>
      </w:pPr>
      <w:r>
        <w:t>Atzinuma sniedzējs</w:t>
      </w:r>
    </w:p>
    <w:p w14:paraId="01D6D310" w14:textId="77777777" w:rsidR="00DE3362" w:rsidRDefault="00F31BF5">
      <w:r>
        <w:t>Vides aizsardzības un reģionālās attīstības ministrija</w:t>
      </w:r>
    </w:p>
    <w:p w14:paraId="296BCAC8" w14:textId="77777777" w:rsidR="00DE3362" w:rsidRDefault="00F31BF5">
      <w:pPr>
        <w:pStyle w:val="titleparagraph"/>
        <w:contextualSpacing w:val="0"/>
      </w:pPr>
      <w:r>
        <w:t>Atzinums iesniegts</w:t>
      </w:r>
    </w:p>
    <w:p w14:paraId="274F1674" w14:textId="77777777" w:rsidR="00DE3362" w:rsidRDefault="00F31BF5">
      <w:r>
        <w:t>05.03.2024.</w:t>
      </w:r>
    </w:p>
    <w:p w14:paraId="201D28AC" w14:textId="77777777" w:rsidR="00DE3362" w:rsidRDefault="00F31BF5">
      <w:pPr>
        <w:pStyle w:val="titleparagraph"/>
        <w:contextualSpacing w:val="0"/>
      </w:pPr>
      <w:r>
        <w:t>Atzinuma sniegšanas termiņš</w:t>
      </w:r>
    </w:p>
    <w:p w14:paraId="19AE21BB" w14:textId="77777777" w:rsidR="00DE3362" w:rsidRDefault="00F31BF5">
      <w:r>
        <w:t>04.03.2024.</w:t>
      </w:r>
    </w:p>
    <w:p w14:paraId="4850D534" w14:textId="77777777" w:rsidR="00DE3362" w:rsidRDefault="00F31BF5">
      <w:pPr>
        <w:pStyle w:val="titleparagraph"/>
        <w:contextualSpacing w:val="0"/>
      </w:pPr>
      <w:r>
        <w:t>Saskaņošanas rezultāts</w:t>
      </w:r>
    </w:p>
    <w:p w14:paraId="601016A9" w14:textId="77777777" w:rsidR="00DE3362" w:rsidRDefault="00F31BF5">
      <w:r>
        <w:t>Noklusējuma saskaņojums</w:t>
      </w:r>
    </w:p>
    <w:p w14:paraId="64424B60" w14:textId="77777777" w:rsidR="00DE3362" w:rsidRDefault="00F31BF5">
      <w:pPr>
        <w:pStyle w:val="titleparagraph"/>
        <w:contextualSpacing w:val="0"/>
      </w:pPr>
      <w:r>
        <w:t>Pieejamības statuss</w:t>
      </w:r>
    </w:p>
    <w:p w14:paraId="5E5296FD" w14:textId="77777777" w:rsidR="00DE3362" w:rsidRDefault="00F31BF5">
      <w:r>
        <w:t>Vispārpieejams</w:t>
      </w:r>
    </w:p>
    <w:p w14:paraId="21773E14" w14:textId="77777777" w:rsidR="00DE3362" w:rsidRDefault="00DE3362"/>
    <w:tbl>
      <w:tblPr>
        <w:tblStyle w:val="a"/>
        <w:tblW w:w="9642"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540"/>
        <w:gridCol w:w="3016"/>
        <w:gridCol w:w="4721"/>
        <w:gridCol w:w="1365"/>
      </w:tblGrid>
      <w:tr w:rsidR="00DE3362" w14:paraId="01FA0558" w14:textId="77777777">
        <w:tc>
          <w:tcPr>
            <w:tcW w:w="675" w:type="dxa"/>
            <w:shd w:val="clear" w:color="auto" w:fill="FFFFFF"/>
            <w:noWrap/>
            <w:tcMar>
              <w:top w:w="75" w:type="dxa"/>
              <w:left w:w="75" w:type="dxa"/>
              <w:bottom w:w="75" w:type="dxa"/>
              <w:right w:w="75" w:type="dxa"/>
            </w:tcMar>
            <w:vAlign w:val="center"/>
          </w:tcPr>
          <w:p w14:paraId="76955AC1" w14:textId="77777777" w:rsidR="00DE3362" w:rsidRDefault="00F31BF5">
            <w:pPr>
              <w:jc w:val="center"/>
              <w:rPr>
                <w:b/>
              </w:rPr>
            </w:pPr>
            <w:proofErr w:type="spellStart"/>
            <w:r>
              <w:rPr>
                <w:b/>
              </w:rPr>
              <w:t>Nr.p.k</w:t>
            </w:r>
            <w:proofErr w:type="spellEnd"/>
            <w:r>
              <w:rPr>
                <w:b/>
              </w:rPr>
              <w:t>.</w:t>
            </w:r>
          </w:p>
        </w:tc>
        <w:tc>
          <w:tcPr>
            <w:tcW w:w="4050" w:type="dxa"/>
            <w:shd w:val="clear" w:color="auto" w:fill="FFFFFF"/>
            <w:noWrap/>
            <w:tcMar>
              <w:top w:w="75" w:type="dxa"/>
              <w:left w:w="75" w:type="dxa"/>
              <w:bottom w:w="75" w:type="dxa"/>
              <w:right w:w="75" w:type="dxa"/>
            </w:tcMar>
            <w:vAlign w:val="center"/>
          </w:tcPr>
          <w:p w14:paraId="5AC7A7FB" w14:textId="77777777" w:rsidR="00DE3362" w:rsidRDefault="00F31BF5">
            <w:pPr>
              <w:jc w:val="center"/>
              <w:rPr>
                <w:b/>
              </w:rPr>
            </w:pPr>
            <w:r>
              <w:rPr>
                <w:b/>
              </w:rPr>
              <w:t>Projekta redakcija</w:t>
            </w:r>
          </w:p>
        </w:tc>
        <w:tc>
          <w:tcPr>
            <w:tcW w:w="6375" w:type="dxa"/>
            <w:shd w:val="clear" w:color="auto" w:fill="FFFFFF"/>
            <w:noWrap/>
            <w:tcMar>
              <w:top w:w="75" w:type="dxa"/>
              <w:left w:w="75" w:type="dxa"/>
              <w:bottom w:w="75" w:type="dxa"/>
              <w:right w:w="75" w:type="dxa"/>
            </w:tcMar>
            <w:vAlign w:val="center"/>
          </w:tcPr>
          <w:p w14:paraId="38842A6A" w14:textId="77777777" w:rsidR="00DE3362" w:rsidRDefault="00F31BF5">
            <w:pPr>
              <w:jc w:val="center"/>
              <w:rPr>
                <w:b/>
              </w:rPr>
            </w:pPr>
            <w:r>
              <w:rPr>
                <w:b/>
              </w:rPr>
              <w:t>Iebildums / Priekšlikums</w:t>
            </w:r>
          </w:p>
        </w:tc>
        <w:tc>
          <w:tcPr>
            <w:tcW w:w="1800" w:type="dxa"/>
            <w:shd w:val="clear" w:color="auto" w:fill="FFFFFF"/>
            <w:noWrap/>
            <w:tcMar>
              <w:top w:w="75" w:type="dxa"/>
              <w:left w:w="75" w:type="dxa"/>
              <w:bottom w:w="75" w:type="dxa"/>
              <w:right w:w="75" w:type="dxa"/>
            </w:tcMar>
            <w:vAlign w:val="center"/>
          </w:tcPr>
          <w:p w14:paraId="415C035E" w14:textId="77777777" w:rsidR="00DE3362" w:rsidRDefault="00F31BF5">
            <w:pPr>
              <w:jc w:val="center"/>
              <w:rPr>
                <w:b/>
              </w:rPr>
            </w:pPr>
            <w:r>
              <w:rPr>
                <w:b/>
              </w:rPr>
              <w:t>Autors</w:t>
            </w:r>
          </w:p>
        </w:tc>
      </w:tr>
      <w:tr w:rsidR="00DE3362" w14:paraId="276D08F1" w14:textId="77777777">
        <w:tc>
          <w:tcPr>
            <w:tcW w:w="675" w:type="dxa"/>
            <w:shd w:val="clear" w:color="auto" w:fill="FFFFFF"/>
            <w:noWrap/>
            <w:tcMar>
              <w:top w:w="75" w:type="dxa"/>
              <w:left w:w="75" w:type="dxa"/>
              <w:bottom w:w="75" w:type="dxa"/>
              <w:right w:w="75" w:type="dxa"/>
            </w:tcMar>
          </w:tcPr>
          <w:p w14:paraId="6FABAC6D" w14:textId="77777777" w:rsidR="00DE3362" w:rsidRDefault="00F31BF5">
            <w:r>
              <w:t>1.</w:t>
            </w:r>
          </w:p>
        </w:tc>
        <w:tc>
          <w:tcPr>
            <w:tcW w:w="4050" w:type="dxa"/>
            <w:shd w:val="clear" w:color="auto" w:fill="FFFFFF"/>
            <w:noWrap/>
            <w:tcMar>
              <w:top w:w="75" w:type="dxa"/>
              <w:left w:w="75" w:type="dxa"/>
              <w:bottom w:w="75" w:type="dxa"/>
              <w:right w:w="75" w:type="dxa"/>
            </w:tcMar>
          </w:tcPr>
          <w:p w14:paraId="2802B8EE" w14:textId="77777777" w:rsidR="00DE3362" w:rsidRDefault="00F31BF5">
            <w:pPr>
              <w:spacing w:after="240"/>
              <w:rPr>
                <w:b/>
              </w:rPr>
            </w:pPr>
            <w:r>
              <w:rPr>
                <w:b/>
              </w:rPr>
              <w:t>Noteikumu konsolidētā versija</w:t>
            </w:r>
          </w:p>
          <w:p w14:paraId="0B7D3916" w14:textId="77777777" w:rsidR="00DE3362" w:rsidRDefault="00F31BF5">
            <w:r>
              <w:t>2.1. Vides, klimata un citu pārvaldības saistību īstenošana</w:t>
            </w:r>
          </w:p>
        </w:tc>
        <w:tc>
          <w:tcPr>
            <w:tcW w:w="6375" w:type="dxa"/>
            <w:shd w:val="clear" w:color="auto" w:fill="FFFFFF"/>
            <w:noWrap/>
            <w:tcMar>
              <w:top w:w="75" w:type="dxa"/>
              <w:left w:w="75" w:type="dxa"/>
              <w:bottom w:w="75" w:type="dxa"/>
              <w:right w:w="75" w:type="dxa"/>
            </w:tcMar>
          </w:tcPr>
          <w:p w14:paraId="5E03C46D" w14:textId="77777777" w:rsidR="00DE3362" w:rsidRDefault="00F31BF5">
            <w:pPr>
              <w:spacing w:after="240"/>
              <w:rPr>
                <w:b/>
              </w:rPr>
            </w:pPr>
            <w:r>
              <w:rPr>
                <w:b/>
              </w:rPr>
              <w:t>Iebildums</w:t>
            </w:r>
          </w:p>
          <w:p w14:paraId="519375B8" w14:textId="77777777" w:rsidR="00DE3362" w:rsidRDefault="00F31BF5">
            <w:r>
              <w:t xml:space="preserve">Lūdzam sasaistē ar noteikumu projektu 24-TA-371 “Grozījumi Ministru kabineta 2023. gada 18. aprīļa noteikumos Nr. 198 "Tiešo maksājumu piešķiršanas kārtība lauksaimniekiem"” veikt izmaiņas normatīvajā regulējumā, lai </w:t>
            </w:r>
            <w:r>
              <w:rPr>
                <w:b/>
              </w:rPr>
              <w:t>nevienā no atbalsta intervencēm</w:t>
            </w:r>
            <w:r>
              <w:t xml:space="preserve"> nebūtu pieļaujams Eiropas Savienības nozīmes bioloģiski vērtīgos zālājus (turpmāk - BVZ) smalcināt, kas ne tikai samazina to vērtību, bet ilgtermiņā pat iznīcina.</w:t>
            </w:r>
          </w:p>
          <w:p w14:paraId="2117F1CE" w14:textId="77777777" w:rsidR="00DE3362" w:rsidRDefault="00F31BF5">
            <w:r>
              <w:t xml:space="preserve">Pēc saziņas ar Lauku atbalsta dienestu Dabas aizsardzības pārvalde noskaidrojusi, ka 2023. gadā ~ 250 ha BVZ ir pieteikti cita veida atbalstam (neskaitot Zālāju biotopu apsaimniekošanu un Bioloģisko lauksaimniecību), kas nozīmē, ka šajās platībās zālājus var gan pārveidot, gan smalcināt, kas </w:t>
            </w:r>
            <w:r>
              <w:lastRenderedPageBreak/>
              <w:t>sekmē to, ka dabisko zālāju platības turpina samazināties, nevis tiek saglabātas.</w:t>
            </w:r>
          </w:p>
          <w:p w14:paraId="2EA43D22" w14:textId="77777777" w:rsidR="00DE3362" w:rsidRDefault="00F31BF5">
            <w:pPr>
              <w:spacing w:before="240" w:after="240"/>
              <w:rPr>
                <w:i/>
              </w:rPr>
            </w:pPr>
            <w:r>
              <w:rPr>
                <w:i/>
              </w:rPr>
              <w:t>Piedāvātā redakcija</w:t>
            </w:r>
          </w:p>
          <w:p w14:paraId="6DCA1E43" w14:textId="77777777" w:rsidR="00DE3362" w:rsidRDefault="00F31BF5">
            <w:r>
              <w:t>-</w:t>
            </w:r>
          </w:p>
        </w:tc>
        <w:tc>
          <w:tcPr>
            <w:tcW w:w="1800" w:type="dxa"/>
            <w:shd w:val="clear" w:color="auto" w:fill="FFFFFF"/>
            <w:noWrap/>
            <w:tcMar>
              <w:top w:w="75" w:type="dxa"/>
              <w:left w:w="75" w:type="dxa"/>
              <w:bottom w:w="75" w:type="dxa"/>
              <w:right w:w="75" w:type="dxa"/>
            </w:tcMar>
          </w:tcPr>
          <w:p w14:paraId="7DF7D32B" w14:textId="77777777" w:rsidR="00DE3362" w:rsidRDefault="00F31BF5">
            <w:r>
              <w:lastRenderedPageBreak/>
              <w:t xml:space="preserve">Iveta </w:t>
            </w:r>
            <w:proofErr w:type="spellStart"/>
            <w:r>
              <w:t>Timze</w:t>
            </w:r>
            <w:proofErr w:type="spellEnd"/>
            <w:r>
              <w:t xml:space="preserve"> (DAP)</w:t>
            </w:r>
          </w:p>
        </w:tc>
      </w:tr>
      <w:tr w:rsidR="00DE3362" w14:paraId="2256207F" w14:textId="77777777">
        <w:tc>
          <w:tcPr>
            <w:tcW w:w="675" w:type="dxa"/>
            <w:shd w:val="clear" w:color="auto" w:fill="FFFFFF"/>
            <w:noWrap/>
            <w:tcMar>
              <w:top w:w="75" w:type="dxa"/>
              <w:left w:w="75" w:type="dxa"/>
              <w:bottom w:w="75" w:type="dxa"/>
              <w:right w:w="75" w:type="dxa"/>
            </w:tcMar>
          </w:tcPr>
          <w:p w14:paraId="1CFCC3D2" w14:textId="77777777" w:rsidR="00DE3362" w:rsidRDefault="00F31BF5">
            <w:r>
              <w:t>2.</w:t>
            </w:r>
          </w:p>
        </w:tc>
        <w:tc>
          <w:tcPr>
            <w:tcW w:w="4050" w:type="dxa"/>
            <w:shd w:val="clear" w:color="auto" w:fill="FFFFFF"/>
            <w:noWrap/>
            <w:tcMar>
              <w:top w:w="75" w:type="dxa"/>
              <w:left w:w="75" w:type="dxa"/>
              <w:bottom w:w="75" w:type="dxa"/>
              <w:right w:w="75" w:type="dxa"/>
            </w:tcMar>
          </w:tcPr>
          <w:p w14:paraId="27F10098" w14:textId="77777777" w:rsidR="00DE3362" w:rsidRDefault="00F31BF5">
            <w:pPr>
              <w:spacing w:after="240"/>
              <w:rPr>
                <w:b/>
              </w:rPr>
            </w:pPr>
            <w:r>
              <w:rPr>
                <w:b/>
              </w:rPr>
              <w:t>Noteikumu konsolidētā versija</w:t>
            </w:r>
          </w:p>
          <w:p w14:paraId="63B08EA0" w14:textId="77777777" w:rsidR="00DE3362" w:rsidRDefault="00F31BF5">
            <w:r>
              <w:t xml:space="preserve">59.1.1. saskaņā ar normatīvajiem aktiem par tiešo maksājumu piešķiršanu ir noteikta kā ekoloģiski jutīga ilggadīgo zālāju platība atbilstoši regulas 2021/2115 III pielikumā noteiktajam 9. LLVS standartam, to aizliegts pārveidot, un tā atrodas </w:t>
            </w:r>
            <w:proofErr w:type="spellStart"/>
            <w:r>
              <w:rPr>
                <w:i/>
              </w:rPr>
              <w:t>Natura</w:t>
            </w:r>
            <w:proofErr w:type="spellEnd"/>
            <w:r>
              <w:rPr>
                <w:i/>
              </w:rPr>
              <w:t xml:space="preserve"> 2000 </w:t>
            </w:r>
            <w:r>
              <w:t>teritorijā vai ārpus tās;</w:t>
            </w:r>
          </w:p>
        </w:tc>
        <w:tc>
          <w:tcPr>
            <w:tcW w:w="6375" w:type="dxa"/>
            <w:shd w:val="clear" w:color="auto" w:fill="FFFFFF"/>
            <w:noWrap/>
            <w:tcMar>
              <w:top w:w="75" w:type="dxa"/>
              <w:left w:w="75" w:type="dxa"/>
              <w:bottom w:w="75" w:type="dxa"/>
              <w:right w:w="75" w:type="dxa"/>
            </w:tcMar>
          </w:tcPr>
          <w:p w14:paraId="075C6DF0" w14:textId="77777777" w:rsidR="00DE3362" w:rsidRDefault="00F31BF5">
            <w:pPr>
              <w:spacing w:after="240"/>
              <w:rPr>
                <w:b/>
              </w:rPr>
            </w:pPr>
            <w:r>
              <w:rPr>
                <w:b/>
              </w:rPr>
              <w:t>Iebildums</w:t>
            </w:r>
          </w:p>
          <w:p w14:paraId="7FF2538B" w14:textId="77777777" w:rsidR="00DE3362" w:rsidRDefault="00F31BF5">
            <w:r>
              <w:t>Lūdzam noteikumu projekta 59.1.1. apakšpunktā ietvert  nacionālo ekoloģiski jutīgo ilggadīgo zālāju definīciju, savstarpēji salāgojot atbalsta nosacījumus ar noteikumu projektu  24-TA-371 “Grozījumi Ministru kabineta 2023. gada 18. aprīļa noteikumos Nr. 198 "Tiešo maksājumu piešķiršanas kārtība lauksaimniekiem"”. Tas ļautu veiksmīgāk sasniegt Kopējās lauksaimniecības politikā (turpmāk – KLP) noteiktos zālāju aizsardzības mērķus, kā arī citus definētos mērķus apputeksnētāju veicināšanā, plūdu risku mazināšanā, ainavas daudzveidības uzturēšanā. Dabas aizsardzības pārvalde (turpmāk – DAP) informāciju par šādiem zālājiem nodrošina dabas datu pārvaldības sistēmā '"Ozols" ģeotelpisko datu veidā, katru gadu datus aktualizējot. DAP ieskatā veidojas kritiska situācija ar zālāju aizsardzību, un KLP un tam pakārtotajos normatīvajos aktos nepieciešams stiprināt zālāju aizsardzību, lai zālāju platības netiktu pārveidotas.</w:t>
            </w:r>
          </w:p>
          <w:p w14:paraId="0E7C0704" w14:textId="77777777" w:rsidR="00DE3362" w:rsidRDefault="00F31BF5">
            <w:pPr>
              <w:spacing w:before="240" w:after="240"/>
              <w:rPr>
                <w:i/>
              </w:rPr>
            </w:pPr>
            <w:r>
              <w:rPr>
                <w:i/>
              </w:rPr>
              <w:t>Piedāvātā redakcija</w:t>
            </w:r>
          </w:p>
          <w:p w14:paraId="4725E052" w14:textId="77777777" w:rsidR="00DE3362" w:rsidRDefault="00F31BF5">
            <w:r>
              <w:t xml:space="preserve">Ekoloģiski jutīgie ilggadīgie zālāji ir zālāji, kas atzīti par Eiropas Savienības nozīmes zālāju biotopu vai Eiropas Savienības nozīmes putnu dzīvotni, vai Eiropas Savienības potenciālo biotopu, un kas reģistrēti dabas datu pārvaldības sistēmā “Ozols”, kā arī citi ekoloģiski nozīmīgi zālāji īpaši aizsargājamās dabas teritorijās, kas ģeotelpiski identificēti īpaši aizsargājamās dabas teritorijas dabas aizsardzības plānā vai noteikti </w:t>
            </w:r>
            <w:proofErr w:type="spellStart"/>
            <w:r>
              <w:t>Natura</w:t>
            </w:r>
            <w:proofErr w:type="spellEnd"/>
            <w:r>
              <w:t xml:space="preserve"> 2000 teritorijas izveidošanas un aizsardzības mērķu sasniegšanai, un kas reģistrēti dabas datu pārvaldības sistēmā “Ozols”. </w:t>
            </w:r>
          </w:p>
        </w:tc>
        <w:tc>
          <w:tcPr>
            <w:tcW w:w="1800" w:type="dxa"/>
            <w:shd w:val="clear" w:color="auto" w:fill="FFFFFF"/>
            <w:noWrap/>
            <w:tcMar>
              <w:top w:w="75" w:type="dxa"/>
              <w:left w:w="75" w:type="dxa"/>
              <w:bottom w:w="75" w:type="dxa"/>
              <w:right w:w="75" w:type="dxa"/>
            </w:tcMar>
          </w:tcPr>
          <w:p w14:paraId="131B88A7" w14:textId="77777777" w:rsidR="00DE3362" w:rsidRDefault="00F31BF5">
            <w:r>
              <w:t xml:space="preserve">Iveta </w:t>
            </w:r>
            <w:proofErr w:type="spellStart"/>
            <w:r>
              <w:t>Timze</w:t>
            </w:r>
            <w:proofErr w:type="spellEnd"/>
            <w:r>
              <w:t xml:space="preserve"> (DAP)</w:t>
            </w:r>
          </w:p>
        </w:tc>
      </w:tr>
      <w:tr w:rsidR="00DE3362" w14:paraId="0EEEC4E1" w14:textId="77777777">
        <w:tc>
          <w:tcPr>
            <w:tcW w:w="675" w:type="dxa"/>
            <w:shd w:val="clear" w:color="auto" w:fill="FFFFFF"/>
            <w:noWrap/>
            <w:tcMar>
              <w:top w:w="75" w:type="dxa"/>
              <w:left w:w="75" w:type="dxa"/>
              <w:bottom w:w="75" w:type="dxa"/>
              <w:right w:w="75" w:type="dxa"/>
            </w:tcMar>
          </w:tcPr>
          <w:p w14:paraId="5D2979F5" w14:textId="77777777" w:rsidR="00DE3362" w:rsidRDefault="00F31BF5">
            <w:r>
              <w:t>3.</w:t>
            </w:r>
          </w:p>
        </w:tc>
        <w:tc>
          <w:tcPr>
            <w:tcW w:w="4050" w:type="dxa"/>
            <w:shd w:val="clear" w:color="auto" w:fill="FFFFFF"/>
            <w:noWrap/>
            <w:tcMar>
              <w:top w:w="75" w:type="dxa"/>
              <w:left w:w="75" w:type="dxa"/>
              <w:bottom w:w="75" w:type="dxa"/>
              <w:right w:w="75" w:type="dxa"/>
            </w:tcMar>
          </w:tcPr>
          <w:p w14:paraId="1B389355" w14:textId="77777777" w:rsidR="00DE3362" w:rsidRDefault="00F31BF5">
            <w:pPr>
              <w:spacing w:after="240"/>
              <w:rPr>
                <w:b/>
              </w:rPr>
            </w:pPr>
            <w:r>
              <w:rPr>
                <w:b/>
              </w:rPr>
              <w:t>Noteikumu konsolidētā versija</w:t>
            </w:r>
          </w:p>
          <w:p w14:paraId="6478E9DC" w14:textId="77777777" w:rsidR="00DE3362" w:rsidRDefault="00F31BF5">
            <w:r>
              <w:lastRenderedPageBreak/>
              <w:t>60.2. informāciju par atkāpēm no šajos noteikumos noteiktajām zālāju biotopu apsaimniekošanas prasībām saistībā ar noteikto dzīvnieku blīvumu noganīšanai, pļavu mēslošanas nosacījumiem, zālāja atpūtināšanu vienu reizi saistību periodā, to nepļaujot un neganot, ciņu frēzēšanu un to saglabāšanas intensitāti, kā arī citām zālāju biotopu kvalitāti uzlabojošām darbībām, ko īsteno saskaņā ar Dabas aizsardzības pārvaldes lēmumu. Dabas aizsardzības pārvalde informē Lauku atbalsta dienestu par pieņemtajiem lēmumiem saistībā ar zālāju biotopu kvalitātes uzlabošanu;</w:t>
            </w:r>
          </w:p>
        </w:tc>
        <w:tc>
          <w:tcPr>
            <w:tcW w:w="6375" w:type="dxa"/>
            <w:shd w:val="clear" w:color="auto" w:fill="FFFFFF"/>
            <w:noWrap/>
            <w:tcMar>
              <w:top w:w="75" w:type="dxa"/>
              <w:left w:w="75" w:type="dxa"/>
              <w:bottom w:w="75" w:type="dxa"/>
              <w:right w:w="75" w:type="dxa"/>
            </w:tcMar>
          </w:tcPr>
          <w:p w14:paraId="0DB08FCA" w14:textId="77777777" w:rsidR="00DE3362" w:rsidRDefault="00F31BF5">
            <w:pPr>
              <w:spacing w:after="240"/>
              <w:rPr>
                <w:b/>
              </w:rPr>
            </w:pPr>
            <w:r>
              <w:rPr>
                <w:b/>
              </w:rPr>
              <w:lastRenderedPageBreak/>
              <w:t>Iebildums</w:t>
            </w:r>
          </w:p>
          <w:p w14:paraId="4988FD51" w14:textId="77777777" w:rsidR="00DE3362" w:rsidRDefault="00F31BF5">
            <w:r>
              <w:t xml:space="preserve">Tiesību normas piemērošanas skaidrībai gan atbalsta saņēmējiem, gan Dabas aizsardzības </w:t>
            </w:r>
            <w:r>
              <w:lastRenderedPageBreak/>
              <w:t>pārvaldei, lūdzam precizēt noteikumu projekta 60.2.apakšpunkta redakciju.</w:t>
            </w:r>
          </w:p>
          <w:p w14:paraId="276AEA76" w14:textId="77777777" w:rsidR="00DE3362" w:rsidRDefault="00F31BF5">
            <w:r>
              <w:t xml:space="preserve">Vienlaikus izsakām viedokli, ka informācija par katra </w:t>
            </w:r>
            <w:proofErr w:type="spellStart"/>
            <w:r>
              <w:t>atbalsttiesīgā</w:t>
            </w:r>
            <w:proofErr w:type="spellEnd"/>
            <w:r>
              <w:t xml:space="preserve"> lauka vēsturi Valsts augu aizsardzības dienesta Lauksaimniecībā izmantojamās zemes pārvaldības sistēmā būtu iesniedzama vienīgi gadījumos, kad tiek piemērotas atkāpes no vispārējiem nosacījumiem.</w:t>
            </w:r>
          </w:p>
          <w:p w14:paraId="4BB18922" w14:textId="77777777" w:rsidR="00DE3362" w:rsidRDefault="00F31BF5">
            <w:pPr>
              <w:spacing w:before="240" w:after="240"/>
              <w:rPr>
                <w:i/>
              </w:rPr>
            </w:pPr>
            <w:r>
              <w:rPr>
                <w:i/>
              </w:rPr>
              <w:t>Piedāvātā redakcija</w:t>
            </w:r>
          </w:p>
          <w:p w14:paraId="74E6B624" w14:textId="77777777" w:rsidR="00DE3362" w:rsidRDefault="00F31BF5">
            <w:r>
              <w:t>-</w:t>
            </w:r>
          </w:p>
        </w:tc>
        <w:tc>
          <w:tcPr>
            <w:tcW w:w="1800" w:type="dxa"/>
            <w:shd w:val="clear" w:color="auto" w:fill="FFFFFF"/>
            <w:noWrap/>
            <w:tcMar>
              <w:top w:w="75" w:type="dxa"/>
              <w:left w:w="75" w:type="dxa"/>
              <w:bottom w:w="75" w:type="dxa"/>
              <w:right w:w="75" w:type="dxa"/>
            </w:tcMar>
          </w:tcPr>
          <w:p w14:paraId="51E66648" w14:textId="77777777" w:rsidR="00DE3362" w:rsidRDefault="00F31BF5">
            <w:r>
              <w:lastRenderedPageBreak/>
              <w:t xml:space="preserve">Iveta </w:t>
            </w:r>
            <w:proofErr w:type="spellStart"/>
            <w:r>
              <w:t>Timze</w:t>
            </w:r>
            <w:proofErr w:type="spellEnd"/>
            <w:r>
              <w:t xml:space="preserve"> (DAP)</w:t>
            </w:r>
          </w:p>
        </w:tc>
      </w:tr>
      <w:tr w:rsidR="00DE3362" w14:paraId="66048E17" w14:textId="77777777">
        <w:tc>
          <w:tcPr>
            <w:tcW w:w="675" w:type="dxa"/>
            <w:shd w:val="clear" w:color="auto" w:fill="FFFFFF"/>
            <w:noWrap/>
            <w:tcMar>
              <w:top w:w="75" w:type="dxa"/>
              <w:left w:w="75" w:type="dxa"/>
              <w:bottom w:w="75" w:type="dxa"/>
              <w:right w:w="75" w:type="dxa"/>
            </w:tcMar>
          </w:tcPr>
          <w:p w14:paraId="7903B4B7" w14:textId="77777777" w:rsidR="00DE3362" w:rsidRDefault="00F31BF5">
            <w:r>
              <w:t>4.</w:t>
            </w:r>
          </w:p>
        </w:tc>
        <w:tc>
          <w:tcPr>
            <w:tcW w:w="4050" w:type="dxa"/>
            <w:shd w:val="clear" w:color="auto" w:fill="FFFFFF"/>
            <w:noWrap/>
            <w:tcMar>
              <w:top w:w="75" w:type="dxa"/>
              <w:left w:w="75" w:type="dxa"/>
              <w:bottom w:w="75" w:type="dxa"/>
              <w:right w:w="75" w:type="dxa"/>
            </w:tcMar>
          </w:tcPr>
          <w:p w14:paraId="1E38CD8A" w14:textId="77777777" w:rsidR="00DE3362" w:rsidRDefault="00F31BF5">
            <w:pPr>
              <w:spacing w:after="240"/>
              <w:rPr>
                <w:b/>
              </w:rPr>
            </w:pPr>
            <w:r>
              <w:rPr>
                <w:b/>
              </w:rPr>
              <w:t>Noteikumu konsolidētā versija</w:t>
            </w:r>
          </w:p>
          <w:p w14:paraId="0431E0C2" w14:textId="77777777" w:rsidR="00DE3362" w:rsidRDefault="00F31BF5">
            <w:r>
              <w:t>62. Lai veicinātu bioloģisko daudzveidību, šo noteikumu 59. punktā minētajā platībā pieļaujams saglabāt līdz 0,1 hektāru lielu nenopļautu vai nenoganītu zālāju laukumu uz vienu šīs intervences atbalsta saņemšanai atbilstošu ilggadīgo zālāju hektāru, kurā nav kūlas slāņa un koku un krūmu atvašu. Šādu atsevišķu nenopļautu vai nenoganītu laukumu platība nepiekļaujas pie lauka malas, un šādu laukumu kopējā platība nepārsniedz vienu hektāru.</w:t>
            </w:r>
            <w:r>
              <w:rPr>
                <w:color w:val="E74C3C"/>
              </w:rPr>
              <w:t> </w:t>
            </w:r>
            <w:r>
              <w:t>Šo noteikumu 59. punktā minētajā platībā var ietvert tādus </w:t>
            </w:r>
            <w:proofErr w:type="spellStart"/>
            <w:r>
              <w:t>agromežsaimniecības</w:t>
            </w:r>
            <w:proofErr w:type="spellEnd"/>
            <w:r>
              <w:t xml:space="preserve"> sistēmu elementus kā koki, kas aug atsevišķi, grupās vai rindās, ja koku skaits uz hektāra nepārsniedz 100 vai </w:t>
            </w:r>
            <w:r>
              <w:lastRenderedPageBreak/>
              <w:t>koku grupu, rindu vai joslu aizņemtā kopējā platība nepārsniedz 500 kvadrātmetru.</w:t>
            </w:r>
          </w:p>
        </w:tc>
        <w:tc>
          <w:tcPr>
            <w:tcW w:w="6375" w:type="dxa"/>
            <w:shd w:val="clear" w:color="auto" w:fill="FFFFFF"/>
            <w:noWrap/>
            <w:tcMar>
              <w:top w:w="75" w:type="dxa"/>
              <w:left w:w="75" w:type="dxa"/>
              <w:bottom w:w="75" w:type="dxa"/>
              <w:right w:w="75" w:type="dxa"/>
            </w:tcMar>
          </w:tcPr>
          <w:p w14:paraId="088819BE" w14:textId="77777777" w:rsidR="00DE3362" w:rsidRDefault="00F31BF5">
            <w:pPr>
              <w:spacing w:after="240"/>
              <w:rPr>
                <w:b/>
              </w:rPr>
            </w:pPr>
            <w:r>
              <w:rPr>
                <w:b/>
              </w:rPr>
              <w:lastRenderedPageBreak/>
              <w:t>Iebildums</w:t>
            </w:r>
          </w:p>
          <w:p w14:paraId="68504864" w14:textId="77777777" w:rsidR="00DE3362" w:rsidRDefault="00F31BF5">
            <w:r>
              <w:t>Lūdzam noteikumu projekta 62. punkta otrajā teikumā svītrot teikuma otro daļu: "un šādu laukumu kopējā platība nepārsniedz vienu hektāru". Esošā prasība, ka saglabā 0,1 ha nenopļautu vai nenoganītu zālāju platību uz 1 ha, bet kopumā tas nevar pārsniegt 1 ha uz lauka bloku, pilnībā nesasniedz savu mērķi, kas vērsts uz dabas daudzveidības saglabāšanu, jo, piemēram, 1 ha saglabāšana 100 ha lielā laukā nav pietiekama un atbilstoša, lai sasniegtu minēto mērķi. Tas ir svarīgi lielās zālāju platībās, kur, atceļot 1 ha prasību par kopējo nenopļauto vai nenoganīto platību, piemēram, 100 ha zālāju platībā tiktu saglabāti  līdz 10 ha, kas lielās zālāju teritorijās ir ainavai un putniem labvēlīgs nosacījums.</w:t>
            </w:r>
          </w:p>
          <w:p w14:paraId="6AF61146" w14:textId="77777777" w:rsidR="00DE3362" w:rsidRDefault="00F31BF5">
            <w:pPr>
              <w:spacing w:before="240" w:after="240"/>
              <w:rPr>
                <w:i/>
              </w:rPr>
            </w:pPr>
            <w:r>
              <w:rPr>
                <w:i/>
              </w:rPr>
              <w:t>Piedāvātā redakcija</w:t>
            </w:r>
          </w:p>
          <w:p w14:paraId="7D018850" w14:textId="77777777" w:rsidR="00DE3362" w:rsidRDefault="00F31BF5">
            <w:r>
              <w:t xml:space="preserve">62. Lai veicinātu bioloģisko daudzveidību, šo noteikumu 59. punktā minētajā platībā pieļaujams saglabāt līdz 0,1 hektāru lielu nenopļautu vai nenoganītu zālāju laukumu uz vienu šīs intervences atbalsta saņemšanai atbilstošu ilggadīgo zālāju hektāru, kurā nav kūlas slāņa un koku un krūmu atvašu. Šādu </w:t>
            </w:r>
            <w:r>
              <w:lastRenderedPageBreak/>
              <w:t xml:space="preserve">atsevišķu nenopļautu vai nenoganītu laukumu platība nepiekļaujas pie lauka malas. Šo noteikumu 59. punktā minētajā platībā var ietvert tādus </w:t>
            </w:r>
            <w:proofErr w:type="spellStart"/>
            <w:r>
              <w:t>agromežsaimniecības</w:t>
            </w:r>
            <w:proofErr w:type="spellEnd"/>
            <w:r>
              <w:t xml:space="preserve"> sistēmu elementus kā koki, kas aug atsevišķi, grupās vai rindās, ja koku skaits uz hektāra nepārsniedz 100 vai koku grupu, rindu vai joslu aizņemtā kopējā platība nepārsniedz 500 kvadrātmetru.</w:t>
            </w:r>
          </w:p>
        </w:tc>
        <w:tc>
          <w:tcPr>
            <w:tcW w:w="1800" w:type="dxa"/>
            <w:shd w:val="clear" w:color="auto" w:fill="FFFFFF"/>
            <w:noWrap/>
            <w:tcMar>
              <w:top w:w="75" w:type="dxa"/>
              <w:left w:w="75" w:type="dxa"/>
              <w:bottom w:w="75" w:type="dxa"/>
              <w:right w:w="75" w:type="dxa"/>
            </w:tcMar>
          </w:tcPr>
          <w:p w14:paraId="3ED755D4" w14:textId="77777777" w:rsidR="00DE3362" w:rsidRDefault="00F31BF5">
            <w:r>
              <w:lastRenderedPageBreak/>
              <w:t xml:space="preserve">Iveta </w:t>
            </w:r>
            <w:proofErr w:type="spellStart"/>
            <w:r>
              <w:t>Timze</w:t>
            </w:r>
            <w:proofErr w:type="spellEnd"/>
            <w:r>
              <w:t xml:space="preserve"> (DAP)</w:t>
            </w:r>
          </w:p>
        </w:tc>
      </w:tr>
      <w:tr w:rsidR="00DE3362" w14:paraId="73A6644E" w14:textId="77777777">
        <w:tc>
          <w:tcPr>
            <w:tcW w:w="675" w:type="dxa"/>
            <w:shd w:val="clear" w:color="auto" w:fill="FFFFFF"/>
            <w:noWrap/>
            <w:tcMar>
              <w:top w:w="75" w:type="dxa"/>
              <w:left w:w="75" w:type="dxa"/>
              <w:bottom w:w="75" w:type="dxa"/>
              <w:right w:w="75" w:type="dxa"/>
            </w:tcMar>
          </w:tcPr>
          <w:p w14:paraId="57CBEDA8" w14:textId="77777777" w:rsidR="00DE3362" w:rsidRDefault="00F31BF5">
            <w:r>
              <w:t>5.</w:t>
            </w:r>
          </w:p>
        </w:tc>
        <w:tc>
          <w:tcPr>
            <w:tcW w:w="4050" w:type="dxa"/>
            <w:shd w:val="clear" w:color="auto" w:fill="FFFFFF"/>
            <w:noWrap/>
            <w:tcMar>
              <w:top w:w="75" w:type="dxa"/>
              <w:left w:w="75" w:type="dxa"/>
              <w:bottom w:w="75" w:type="dxa"/>
              <w:right w:w="75" w:type="dxa"/>
            </w:tcMar>
          </w:tcPr>
          <w:p w14:paraId="4569360D" w14:textId="77777777" w:rsidR="00DE3362" w:rsidRDefault="00F31BF5">
            <w:pPr>
              <w:spacing w:after="240"/>
              <w:rPr>
                <w:b/>
              </w:rPr>
            </w:pPr>
            <w:r>
              <w:rPr>
                <w:b/>
              </w:rPr>
              <w:t>Noteikumu konsolidētā versija</w:t>
            </w:r>
          </w:p>
          <w:p w14:paraId="704B5967" w14:textId="77777777" w:rsidR="00DE3362" w:rsidRDefault="00F31BF5">
            <w:r>
              <w:t xml:space="preserve">63. Atbalsta apmērs par vienu </w:t>
            </w:r>
            <w:proofErr w:type="spellStart"/>
            <w:r>
              <w:t>atbalsttiesīgās</w:t>
            </w:r>
            <w:proofErr w:type="spellEnd"/>
            <w:r>
              <w:t xml:space="preserve"> platības hektāru ir:</w:t>
            </w:r>
          </w:p>
        </w:tc>
        <w:tc>
          <w:tcPr>
            <w:tcW w:w="6375" w:type="dxa"/>
            <w:shd w:val="clear" w:color="auto" w:fill="FFFFFF"/>
            <w:noWrap/>
            <w:tcMar>
              <w:top w:w="75" w:type="dxa"/>
              <w:left w:w="75" w:type="dxa"/>
              <w:bottom w:w="75" w:type="dxa"/>
              <w:right w:w="75" w:type="dxa"/>
            </w:tcMar>
          </w:tcPr>
          <w:p w14:paraId="15B1A59A" w14:textId="77777777" w:rsidR="00DE3362" w:rsidRDefault="00F31BF5">
            <w:pPr>
              <w:spacing w:after="240"/>
              <w:rPr>
                <w:b/>
              </w:rPr>
            </w:pPr>
            <w:r>
              <w:rPr>
                <w:b/>
              </w:rPr>
              <w:t>Priekšlikums</w:t>
            </w:r>
          </w:p>
          <w:p w14:paraId="5B2ACF0C" w14:textId="77777777" w:rsidR="00DE3362" w:rsidRDefault="00F31BF5">
            <w:r>
              <w:t>Lūdzam iespēju robežās paaugstināt maksājumu likmes par 1.-6. ražības klases zālāju apsaimniekošanu.</w:t>
            </w:r>
          </w:p>
          <w:p w14:paraId="1455F1DA" w14:textId="77777777" w:rsidR="00DE3362" w:rsidRDefault="00F31BF5">
            <w:pPr>
              <w:spacing w:before="240" w:after="240"/>
              <w:rPr>
                <w:i/>
              </w:rPr>
            </w:pPr>
            <w:r>
              <w:rPr>
                <w:i/>
              </w:rPr>
              <w:t>Piedāvātā redakcija</w:t>
            </w:r>
          </w:p>
          <w:p w14:paraId="402C00A7" w14:textId="77777777" w:rsidR="00DE3362" w:rsidRDefault="00F31BF5">
            <w:r>
              <w:t>-</w:t>
            </w:r>
          </w:p>
        </w:tc>
        <w:tc>
          <w:tcPr>
            <w:tcW w:w="1800" w:type="dxa"/>
            <w:shd w:val="clear" w:color="auto" w:fill="FFFFFF"/>
            <w:noWrap/>
            <w:tcMar>
              <w:top w:w="75" w:type="dxa"/>
              <w:left w:w="75" w:type="dxa"/>
              <w:bottom w:w="75" w:type="dxa"/>
              <w:right w:w="75" w:type="dxa"/>
            </w:tcMar>
          </w:tcPr>
          <w:p w14:paraId="7321D2F1" w14:textId="77777777" w:rsidR="00DE3362" w:rsidRDefault="00F31BF5">
            <w:r>
              <w:t xml:space="preserve">Iveta </w:t>
            </w:r>
            <w:proofErr w:type="spellStart"/>
            <w:r>
              <w:t>Timze</w:t>
            </w:r>
            <w:proofErr w:type="spellEnd"/>
            <w:r>
              <w:t xml:space="preserve"> (DAP)</w:t>
            </w:r>
          </w:p>
        </w:tc>
      </w:tr>
    </w:tbl>
    <w:p w14:paraId="5162EECF" w14:textId="77777777" w:rsidR="00F31BF5" w:rsidRDefault="00F31BF5"/>
    <w:sectPr w:rsidR="00F31BF5">
      <w:headerReference w:type="default" r:id="rId6"/>
      <w:footerReference w:type="default" r:id="rId7"/>
      <w:headerReference w:type="first" r:id="rId8"/>
      <w:footerReference w:type="first" r:id="rId9"/>
      <w:pgSz w:w="11908" w:h="16833"/>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D1701" w14:textId="77777777" w:rsidR="00F31BF5" w:rsidRDefault="00F31BF5">
      <w:r>
        <w:separator/>
      </w:r>
    </w:p>
  </w:endnote>
  <w:endnote w:type="continuationSeparator" w:id="0">
    <w:p w14:paraId="1E2E91B3" w14:textId="77777777" w:rsidR="00F31BF5" w:rsidRDefault="00F31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ED96E" w14:textId="77777777" w:rsidR="00DE3362" w:rsidRDefault="00F31BF5">
    <w:pPr>
      <w:jc w:val="right"/>
    </w:pPr>
    <w:r>
      <w:rPr>
        <w:szCs w:val="24"/>
      </w:rPr>
      <w:fldChar w:fldCharType="begin"/>
    </w:r>
    <w:r>
      <w:rPr>
        <w:szCs w:val="24"/>
      </w:rPr>
      <w:instrText>PAGE</w:instrText>
    </w:r>
    <w:r>
      <w:rPr>
        <w:szCs w:val="24"/>
      </w:rPr>
      <w:fldChar w:fldCharType="separate"/>
    </w:r>
    <w:r>
      <w:rPr>
        <w:noProof/>
        <w:szCs w:val="24"/>
      </w:rPr>
      <w:t>2</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3E609" w14:textId="77777777" w:rsidR="00F31BF5" w:rsidRDefault="00F31BF5">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1EACF" w14:textId="77777777" w:rsidR="00F31BF5" w:rsidRDefault="00F31BF5">
      <w:r>
        <w:separator/>
      </w:r>
    </w:p>
  </w:footnote>
  <w:footnote w:type="continuationSeparator" w:id="0">
    <w:p w14:paraId="3056E08F" w14:textId="77777777" w:rsidR="00F31BF5" w:rsidRDefault="00F31B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24C2C" w14:textId="77777777" w:rsidR="00DE3362" w:rsidRDefault="00F31BF5">
    <w:pPr>
      <w:pStyle w:val="Header"/>
      <w:contextualSpacing w:val="0"/>
    </w:pPr>
    <w:r>
      <w:t>Atzinumi 24-TA-42</w:t>
    </w:r>
    <w:r>
      <w:br/>
      <w:t>Izdrukāts 05.03.2024. 09.39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3CD5E" w14:textId="77777777" w:rsidR="00DE3362" w:rsidRDefault="00F31BF5">
    <w:pPr>
      <w:pStyle w:val="Header"/>
      <w:contextualSpacing w:val="0"/>
    </w:pPr>
    <w:r>
      <w:t>Atzinumi 24-TA-42</w:t>
    </w:r>
    <w:r>
      <w:br/>
      <w:t>Izdrukāts 05.03.2024. 09.39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362"/>
    <w:rsid w:val="0056052A"/>
    <w:rsid w:val="00DE3362"/>
    <w:rsid w:val="00F31BF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C8053"/>
  <w15:docId w15:val="{32EC6D58-489D-4BE4-A6D3-A95B0ACE6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sz w:val="28"/>
    </w:rPr>
  </w:style>
  <w:style w:type="paragraph" w:customStyle="1" w:styleId="paragraph">
    <w:name w:val="paragraph"/>
    <w:basedOn w:val="Normal"/>
    <w:next w:val="Normal"/>
    <w:pPr>
      <w:contextualSpacing/>
    </w:pPr>
  </w:style>
  <w:style w:type="paragraph" w:customStyle="1" w:styleId="titleparagraph">
    <w:name w:val="title_paragraph"/>
    <w:basedOn w:val="Normal"/>
    <w:next w:val="Normal"/>
    <w:pPr>
      <w:spacing w:before="280"/>
      <w:contextualSpacing/>
    </w:pPr>
    <w:rPr>
      <w:b/>
    </w:rPr>
  </w:style>
  <w:style w:type="paragraph" w:styleId="Header">
    <w:name w:val="header"/>
    <w:basedOn w:val="Normal"/>
    <w:next w:val="Normal"/>
    <w:pPr>
      <w:spacing w:after="280"/>
      <w:contextualSpacing/>
      <w:jc w:val="right"/>
    </w:pPr>
  </w:style>
  <w:style w:type="paragraph" w:customStyle="1" w:styleId="boldparagraph">
    <w:name w:val="bold_paragraph"/>
    <w:basedOn w:val="Normal"/>
    <w:next w:val="Normal"/>
    <w:pPr>
      <w:contextualSpacing/>
    </w:pPr>
    <w:rPr>
      <w:b/>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4432</Words>
  <Characters>2527</Characters>
  <Application>Microsoft Office Word</Application>
  <DocSecurity>4</DocSecurity>
  <Lines>21</Lines>
  <Paragraphs>13</Paragraphs>
  <ScaleCrop>false</ScaleCrop>
  <Company/>
  <LinksUpToDate>false</LinksUpToDate>
  <CharactersWithSpaces>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Atzinumi_24-TA-42.docx</dc:title>
  <dc:creator>Ilze Opermane</dc:creator>
  <cp:lastModifiedBy>Gunta Bāra</cp:lastModifiedBy>
  <cp:revision>2</cp:revision>
  <dcterms:created xsi:type="dcterms:W3CDTF">2024-03-11T06:19:00Z</dcterms:created>
  <dcterms:modified xsi:type="dcterms:W3CDTF">2024-03-11T06:19:00Z</dcterms:modified>
</cp:coreProperties>
</file>