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novembra noteikumos Nr. 716 "Noteikumi par valsts pirmsskolas izglītības vadlīnijām un pirmsskolas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svītrot 10.1.2.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šo punktu, rodas sajūta, ka šie bērni vienkārši pazūd, viņu nav...., bet viņi ir, viņi ir jāmāca, tāpēc ierosinām šo punktu izteikt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bērns, kuram latviešu valoda nav dzimta valoda, latviešu valodā  atbild uz jautājumiem par redzēto un dzirdēto, jautā, lai iegūtu informāciju, izsaka savas vajadzības, iesaistās sarunā par tematiem, kuri saistīti ar ikdienu un mācību procesu, mācās pareizi izrunāt skaņas, pazīst iespiestos un rakstītos burtus, lasa īsus ikdienas situācijās un mācību procesā biežāk lietojamus vārdus;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30.12.2022.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30.12.2022.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Atzinumi_22-TA-3523.docx</dc:title>
</cp:coreProperties>
</file>

<file path=docProps/custom.xml><?xml version="1.0" encoding="utf-8"?>
<Properties xmlns="http://schemas.openxmlformats.org/officeDocument/2006/custom-properties" xmlns:vt="http://schemas.openxmlformats.org/officeDocument/2006/docPropsVTypes"/>
</file>