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pārvaldes pakalpojumu portālā ir pieejams personas datu pārlūkošanas pakalpojums, lai nodrošinātu personas tiesības uz personas datu pārvaldību, kurā pēc personas pieprasījuma vienuviet atspoguļo informāciju no valsts informācijas sistēmām par personu, tajā skaitā tās personas datiem, kas tiek apstrādāti valsts informācijas sistēmās. Personas datu pārlūkošanas pakalpojums nodrošina iespēju izgūt datus no valsts informācijas sistēmām par informācijas pieprasītāju un personām, kuru likumiskais pārstāvis tas ir, un aizsargātā veidā tos saņemt oficiālajā elektroniskajā adresē. Ministru kabinets nosaka personas datu pārlūkošanas tehniskā risinājuma pārzini, personas datu pārlūkošanas pakalpojuma nodrošināšanai nepieciešamo apstrādājamo datu apjomu, personas identifikācijas nosacījumus, informācijas aprites kārtību, datu glabāšanas noteikumus un apstrādes kārtību, kā arī institūcijas, kas nodrošina personas datu sniegšanu personas datu pārlūkošanas pakalpojuma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iebildumu pēc būtības attiecībā uz minētā panta skaidrojumu un līdz ar to būtībā par šā panta saturu, kas izriet no projekta anotācijā norādītā.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minētā panta regulējuma ietvaros paredzēts nodot Vispārējās datu aizsardzības regulas 15. panta 1. un 2. punktā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reģistrā (turpmāk – Reģistrs) noris tā informācijas sistēmas mi modernizācija un viens no tās mērķiem tika noteikts – nodrošināt datu automatizētu atjaunošanu, un nodošanu DAGR kur VRAA attiecīgi nodrošina augstu pieejamību. Datubāžu komunikācijai VRAA pieturēsies pie esošā API pārvaldnieka risinājuma – VRAA būs pieejama informācija par to kādi datu izsaukumi uz katru fizisko personu ir bijuši.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Tehniskais risinājums, izmantot DAGR kā vietni kur vienuviet varēs saņemt informāciju par valsts informācijas sistēmās apstrādātajiem personas datiem ir VRAA kompetencē, un nav saprotams kā praktiski to īstenot, jo tā īstenošanas process projekt anotācijā nav minēts. Norādāms, ka, veicot datu izsaukumu caur API, nevar reizē ar izsaukumu norādīt informāciju, kas norādīta Datu regulas 15. panta 1. un 2. punktā, kā arī anotācijā tas ir norādīts kā plānotais darbs. Ņemot vērā iepriekš minēto, projekta anotācijā lūdzam svītrot atsauci uz Vispārējās datu aizsardzības regulas 15. panta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anotācijā svītrot atsauci uz Vispārējās datu aizsardzības regulas 15.panta 1. un 2. punktu, lai tādējādi jau anotācijā netiktu noteikts būtībā šā panta ietvaros nododamo datu saturs un apjoms: (“Plānots, ka datu subjektam tiks nodrošināta iespēja ērtākā veidā realizēt datu subjekta piekļuves tiesības, kas noteiktas ar Eiropas Parlamenta un Padomes 2016. gada 27. aprīļa Regulu (ES) 2016/679 par fizisku personu aizsardzību attiecībā uz personas datu apstrādi un šādu datu brīvu apriti un ar ko atceļ Direktīvu 95/46/EK (Vispārīgā datu aizsardzības regula), vienuviet saņemot informāciju par tā valsts informācijas sistēmās apstrādātajiem personas datiem, atbilstoši Datu regulas 15. panta 1. un 2. punktam.), jo tādā gadījumā datu nodošana no publiskajiem reģistriem tiktu nodrošināta līdzīgi, kā tas tiek nodrošināts šobrīd. Norādāms, ka atsauce uz Vispārējās datu aizsardzības regulas 15. pantu maina datu saturu un apjomu. Norādāms, ka Reģistrā netiek plānots paplašināt uz DAGR nodoto datu apjomu, lai tas būtu pilnībā atbilstošs vispārējās datu aizsardzības regulas 15. panta 1. un 2. punktā noteiktajam. Šādu darbu veikšana nav iespējama un nav paredzēta pēc būtības un netiek plānota, tādai nav paredzēti un nav pieejami ne laika ne finanšu, ne cilvēku resursi. Iespējams, lai projekta anotācijā novērstu neatbilstības ar paredzēto , kā arī praktiskajām iespējām, un nodrošinātu viennozīmīgu izpratni par paredzēto nododamo datu apjomu un saturu, aicinām anotācijas 4.1.3 punktu papildināt ar informāciju par tajā paredzēto MK noteikumu (par personas datu pārlūkošanas pakalpojuma nodrošināšanai nepieciešamo datu apjomu, u. t. t. atbilstoši deleģējumam projektā paredzētajā 100. pantā noteiktajam) saturu, tostarp, tajos nosakāmo datu apjomu un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Papildināt pārejas noteikumus ar 30., 31. un 32.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Starpresoru vienošanās un sadarbības līgumi, kas noslēgti līdz 2023. gada 1. augustam, paliek spēkā līdz to atzīšanai par spēku zaudējušiem vai citam brīdim, kad tie zaudē spēku. Pēc 2023. gada 1. augusta uz tiem attiecināmi šajā likumā noteiktie vienošanās par sadarbību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Ministru kabinets līdz 2023. gada 31. decembrim izdod šā likuma 98. panta piektajā un sestajā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kabinets līdz 2023. gada 1. septembrim izdod šā likuma 48. panta sestajā un 100. panta piektajā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likumprojektā paredzētos termiņus, vai tie būs izpildāmi. Tāpat arī pārskatāms likumprojekta spēkā stāšanās termiņš - 2023.gada 1.augusts, ņemot vērā, ka likumprojekts vēl ir saskaņošanas procesā un nav iesniegts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27.06.2023.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27.06.2023.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