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1.punktā minētajam, izteiktais iebildums ir ņemts vērā un minēts, ka grozījumiem nav ietekmes uz komersantiem un 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Tomēr, izvērtējot aktuālo anotācijas redakciju, vērtējums par grozījumu ietekmi uz komersantu atlases procedūru nav iekļauts anotācijas tekstā. Ievērojot minēto, lūdzam iekļaut izziņas 1.punktā minēto vērtējumu, kā arī informāciju, ka grozījumi neietekmē un nepārkāpj vienlīdzības principu attiecībā uz minēto komersantu atlasi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skaidrojumu, vai grozījumu rezultātā netiks būtiski ietekmēta to projektu rādītāju un mērķu sasniegšana, no kuriem tiks kompensēts iztrūkums un pārvirzīti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05.08.2026.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05.08.2026.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