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99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(040722 LIKTA atzinums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atbilstības novērtēšanu"" (Nr.1603/Lp13) [1] iesniegts un izskatīts pirmajā lasījumā 13.Saeimā un šobrīd uz 14.Saeimas darba kārtību nav pārcelts. Ievērojot minēto, lūdzam svītrot atsauci uz šī likumprojekta normu. Arī pašreizējā likuma redakcijā šādas normas nav. Kontekstā ar šo lūdzam precizēt arī pārējo anotācijas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https://titania.saeima.lv/LIVS13/SaeimaLIVS13.nsf/webAll?SearchView&amp;Query=([NumberTxt]=1603)&amp;SearchMax=0&amp;SearchOrder=4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Patērētāju tiesību aizsardzības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15</w:t>
            </w:r>
            <w:r w:rsidR="00000000" w:rsidRPr="00000000" w:rsidDel="00000000">
              <w:rPr>
                <w:rtl w:val="0"/>
              </w:rPr>
              <w:t xml:space="preserve"> panta desmito daļu un likuma “Par atbilstības novērtēšanu”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panta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atbilstības novērtēšanu'" (Nr.1603/Lp13) [1] iesniegts un izskatīts pirmajā lasījumā 13.Saeimā un šobrīd uz 14.Saeimas darba kārtību nav pārcelti. Ievērojot minēto, lūdzam svītrot vārdus un skaitļus "un likuma “Par atbilstības novērtēšanu” 9.</w:t>
            </w:r>
            <w:r w:rsidR="00000000" w:rsidRPr="00000000" w:rsidDel="00000000">
              <w:rPr>
                <w:vertAlign w:val="superscript"/>
                <w:rtl w:val="0"/>
              </w:rPr>
              <w:t xml:space="preserve">7</w:t>
            </w:r>
            <w:r w:rsidR="00000000" w:rsidRPr="00000000" w:rsidDel="00000000">
              <w:rPr>
                <w:rtl w:val="0"/>
              </w:rPr>
              <w:t xml:space="preserve"> panta piekto daļu". Pašreizējā likuma redakcijā šādas normas nav. Kontekstā ar šo lūdzam precizēt arī pārējo projekta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https://titania.saeima.lv/LIVS13/SaeimaLIVS13.nsf/webAll?SearchView&amp;Query=([NumberTxt]=1603)&amp;SearchMax=0&amp;SearchOrder=4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Patērētāju tiesību aizsardzības centrs un Veselības inspekcija (turpmāk – iestāde) sagatavo un nosūta elektronisko sakaru komersantam, augstākā līmeņa domēna reģistram vai domēna vārda reģistratūrai, vai informācijas sabiedrības pakalpojuma sniedzējam Patērētāju tiesību aizsardzības likuma  26.</w:t>
            </w:r>
            <w:r w:rsidR="00000000" w:rsidRPr="00000000" w:rsidDel="00000000">
              <w:rPr>
                <w:vertAlign w:val="superscript"/>
                <w:rtl w:val="0"/>
              </w:rPr>
              <w:t xml:space="preserve">15</w:t>
            </w:r>
            <w:r w:rsidR="00000000" w:rsidRPr="00000000" w:rsidDel="00000000">
              <w:rPr>
                <w:rtl w:val="0"/>
              </w:rPr>
              <w:t xml:space="preserve"> panta piektajā daļā vai likuma “Par atbilstības novērtēšanu” 9.</w:t>
            </w:r>
            <w:r w:rsidR="00000000" w:rsidRPr="00000000" w:rsidDel="00000000">
              <w:rPr>
                <w:vertAlign w:val="superscript"/>
                <w:rtl w:val="0"/>
              </w:rPr>
              <w:t xml:space="preserve">7</w:t>
            </w:r>
            <w:r w:rsidR="00000000" w:rsidRPr="00000000" w:rsidDel="00000000">
              <w:rPr>
                <w:rtl w:val="0"/>
              </w:rPr>
              <w:t xml:space="preserve"> panta trešajā daļā minēto lēmumu, kā arī lēmumā ietveramā pieprasījuma veidlapas paraugu, lēmuma nosūtīšanas veidu, tā izpildes un darbības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likuma 26.</w:t>
            </w:r>
            <w:r w:rsidR="00000000" w:rsidRPr="00000000" w:rsidDel="00000000">
              <w:rPr>
                <w:vertAlign w:val="superscript"/>
                <w:rtl w:val="0"/>
              </w:rPr>
              <w:t xml:space="preserve">15</w:t>
            </w:r>
            <w:r w:rsidR="00000000" w:rsidRPr="00000000" w:rsidDel="00000000">
              <w:rPr>
                <w:rtl w:val="0"/>
              </w:rPr>
              <w:t xml:space="preserve"> panta desmitā daļa pilnvaro Ministru kabinetu noteikt kārtību, kādā Patērētāju tiesību aizsardzības centrs (PTAC) un Veselības inspekcija sagatavo un nosūta elektronisko sakaru komersantam, augstākā līmeņa domēna reģistram vai domēna vārda reģistratūrai, vai informācijas sabiedrības pakalpojumu sniedzējam šā panta piektajā daļā minēto lēmumu, kā arī lēmumā ietveramā </w:t>
            </w:r>
            <w:r w:rsidR="00000000" w:rsidRPr="00000000" w:rsidDel="00000000">
              <w:rPr>
                <w:b w:val="1"/>
                <w:u w:val="single"/>
                <w:rtl w:val="0"/>
              </w:rPr>
              <w:t xml:space="preserve">pieprasījuma formu</w:t>
            </w:r>
            <w:r w:rsidR="00000000" w:rsidRPr="00000000" w:rsidDel="00000000">
              <w:rPr>
                <w:rtl w:val="0"/>
              </w:rPr>
              <w:t xml:space="preserve">, lēmuma nosūtīšanas veidu,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Vēsturiskajā anotācijā [1] par šo normu skaidrots, ka </w:t>
            </w:r>
            <w:r w:rsidR="00000000" w:rsidRPr="00000000" w:rsidDel="00000000">
              <w:rPr>
                <w:i w:val="1"/>
                <w:rtl w:val="0"/>
              </w:rPr>
              <w:t xml:space="preserve">minētā kārtība noteiks, ka PTAC un Veselības inspekcija nosūta lēmumu par tiešsaistes saskarnes ierobežošanu tā adresātam, pievienojot lēmumā ietveramo </w:t>
            </w:r>
            <w:r w:rsidR="00000000" w:rsidRPr="00000000" w:rsidDel="00000000">
              <w:rPr>
                <w:i w:val="1"/>
                <w:u w:val="single"/>
                <w:rtl w:val="0"/>
              </w:rPr>
              <w:t xml:space="preserve">pieprasījuma formu, kurā norādīts domēna vārds, interneta protokola adrese vai tiešsaistes saskarnes apraksts, kas jāierobežo. </w:t>
            </w:r>
            <w:r w:rsidR="00000000" w:rsidRPr="00000000" w:rsidDel="00000000">
              <w:rPr>
                <w:i w:val="1"/>
                <w:rtl w:val="0"/>
              </w:rPr>
              <w:t xml:space="preserve">Papildus tam, kārtība paredzēs, ar kādiem saziņas līdzekļiem PTAC un Veselības inspekcija informēs lēmuma adresātus par lēmumu vai tā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noteikumu (un arī  projekta) 1.punktā nekorekti paredzēts, ka noteikumi nosaka lēmumā ietveramā pieprasījuma </w:t>
            </w:r>
            <w:r w:rsidR="00000000" w:rsidRPr="00000000" w:rsidDel="00000000">
              <w:rPr>
                <w:u w:val="single"/>
                <w:rtl w:val="0"/>
              </w:rPr>
              <w:t xml:space="preserve">veidlapas paraugu</w:t>
            </w:r>
            <w:r w:rsidR="00000000" w:rsidRPr="00000000" w:rsidDel="00000000">
              <w:rPr>
                <w:rtl w:val="0"/>
              </w:rPr>
              <w:t xml:space="preserve">, un tā vietā jāparedz, ka noteikumi nosaka lēmumā ietveramā pieprasījuma </w:t>
            </w:r>
            <w:r w:rsidR="00000000" w:rsidRPr="00000000" w:rsidDel="00000000">
              <w:rPr>
                <w:u w:val="single"/>
                <w:rtl w:val="0"/>
              </w:rPr>
              <w:t xml:space="preserve">formu.</w:t>
            </w:r>
            <w:r w:rsidR="00000000" w:rsidRPr="00000000" w:rsidDel="00000000">
              <w:rPr>
                <w:rtl w:val="0"/>
              </w:rPr>
              <w:t xml:space="preserve"> Lūdzam nodrošināt noteikumu 1.punkta atbilstību likuma pilnvarojumā noteiktajam un aizstāt vārdus "veidlapas paraugu" ar vārdu "formu".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lūdzam atteikties no veidlapas parauga apstiprināšanas noteikumu pielikumā un svītrot to (t.sk. atsauces uz pielikumu), </w:t>
            </w:r>
            <w:r w:rsidR="00000000" w:rsidRPr="00000000" w:rsidDel="00000000">
              <w:rPr>
                <w:u w:val="single"/>
                <w:rtl w:val="0"/>
              </w:rPr>
              <w:t xml:space="preserve">vienlaikus noteikumos paredzot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pieprasījumā ietveramo informācijas saturu, piem., atbilstoši šobrīd veidlapā norādītajai informācijai, ka pieprasījumā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pieprasījuma izdošanas vietu un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administratīvā akta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atsauci uz tiesību normu, uz kuras pamata lēmuma adresātam tiek uzdots īstenot tiesību ierobežojumu (</w:t>
            </w:r>
            <w:r w:rsidR="00000000" w:rsidRPr="00000000" w:rsidDel="00000000">
              <w:rPr>
                <w:i w:val="1"/>
                <w:rtl w:val="0"/>
              </w:rPr>
              <w:t xml:space="preserve">digitālā formātā ieteicams likt arī saiti uz likumi.lv attiecīgo redakciju, lai pieprasījuma saņēmējs var ērti ar normu iepazīties)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ierobežojuma veidu (atbilstoši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w:t>
            </w:r>
            <w:r w:rsidR="00000000" w:rsidRPr="00000000" w:rsidDel="00000000">
              <w:rPr>
                <w:u w:val="single"/>
                <w:rtl w:val="0"/>
              </w:rPr>
              <w:t xml:space="preserve">elektronisko sakaru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ierobežot piekļuvi tiešsaistes saskarnei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pārvirzīt lietotāju, kad tas piekļūst tiešsaistes saskarnei, uz tādu tīmekļvietni vai citu tiešsaistes līdzekli, kurš tiek izmantots patērētāju brīdināšanai;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w:t>
            </w:r>
            <w:r w:rsidR="00000000" w:rsidRPr="00000000" w:rsidDel="00000000">
              <w:rPr>
                <w:u w:val="single"/>
                <w:rtl w:val="0"/>
              </w:rPr>
              <w:t xml:space="preserve">augstākā līmeņa domēna reģistram vai domēna vārda reģistratūrai: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 domēna vārda atslēgšanu;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aizliegt domēna vārda lietošanas tiesību nodošanu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nodot domēna vārda lietošanas tiesības iestādei, kas pieņem šo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w:t>
            </w:r>
            <w:r w:rsidR="00000000" w:rsidRPr="00000000" w:rsidDel="00000000">
              <w:rPr>
                <w:u w:val="single"/>
                <w:rtl w:val="0"/>
              </w:rPr>
              <w:t xml:space="preserve">informācijas sabiedrības pakalpojuma sniedzējam (tai skaitā mitināšanas pakalpojumu sniedzējam)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izņemt, bloķēt vai ierobežot piekļuvi tiešsaistes saskarnei tiešsaistes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izņemt saturu no tiešsaistes saskarnes;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noteikumu 6. punktā un 5.1. apakšpunktā, 11. punktā un 10.1.apakšpunktā un 17.punktā un 16.1.apakšpunktā norādīšanai paredzēto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pieprasījumu var sagatavot, ja lēmums par tiesību ierobežošanu paredzēts par vairākiem subjektiem vai objektiem un tas nosūtāms vienam lēmuma adresātam, aicinām apsvērt, vai vieglākai lēmumā ietvertā pienākuma izpildes izpratnei nav norādāms tiesību ierobežojuma ilgums, ja no lēmuma izriet, ka tie ir dažādi.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pieprasījuma formu - piem., ka pieprasījumu sagatavo kā no lēmuma atsevišķu elektroniskas formas noteikta formāta datni (piem., vienkāršā teksta formātā, atvērtā dokumenta formātā (ODF) biroja lietotnēm, atvērtā biroja XML (Office Open XML) datņu formātā, portatīvā dokumenta (PDF) formātā vai portatīvā dokumenta formātā ilglaicīgai glabāšanai (PDF/A) [2] utml.) (tas parasti ir svarīgi, ja jāizpilda daudz pieprasījumu piecu darbdienu laikā, ka procedūra ir automatizēta un par ko norāda biedrība “Latvijas Informācijas un komunikācijas tehnoloģijas asociācija” (LIKTA) savā 04.07.2022. atzinumā Nr. 2022/07-03 publiskās apspriedes ietvaros, ka informācijas apstrāde mašīnlasāmā formā sakaru komersantam ir vitāli svarīga, lai lēmumus izpildītu operatīvi un taupītu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nepieciešams, atbildīgajām institūcijām pienākumu izstrādāt pieprasījuma veidlapas paraugu un publicēt institūcijas tīmekļvietnē ar nepieciešamajiem skaidrojumiem [3].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ieteikta arī Valsts kancelejas Valsts iestāžu juridisko dienestu vadītāju 14.11.2019. sanāksmē (sk. protokolu Nr. 3 2.§ un pievienoto prezentāciju) [4].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Pieprasījuma veidlapā nav precīzi norādīta noteikumu 6. punktā un 5.1. apakšpunktā, 11. punktā un 10.1.apakšpunktā un 17.punktā un 16.1.apakšpunktā norādīšanai paredzētā informācija. Pieprasījumam par tiesību ierobežošanu ir jābūt saprotamam un precīzam, lai var nepārprotami izsecināt adresātam uzlikto tiesisko pienākumu. Lūdzam precizēt pieprasījuma veidlapas saturu atbilstoši noteikumu 6. punktā un 5.1. apakšpunktā, 11. punktā un 10.1.apakšpunktā un 17.punktā un 16.1.apakšpunktā noteiktajam. Šajā aspektā uzsveram priekšrocību, kas rodas neapstiprinot pieprasījuma veidlapu ar Ministru kabineta noteikumiem, proti, atbildīgai institūcijai būs iespēja operatīvi papildināt veidlapu paraugus ar fakultatīvi norādāmu informāciju, kas atvieglos darbiniekiem aizpildīt veidlapu vai adresātiem precīzāk izpildīt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vēršam uzmanību, ka pieprasījuma veidlapa jāpielāgo lēmuma adresāta vajadzībām, veidojot pielāgota satura veidlapu katram adresāta </w:t>
            </w:r>
            <w:r w:rsidR="00000000" w:rsidRPr="00000000" w:rsidDel="00000000">
              <w:rPr>
                <w:u w:val="single"/>
                <w:rtl w:val="0"/>
              </w:rPr>
              <w:t xml:space="preserve">veidam</w:t>
            </w:r>
            <w:r w:rsidR="00000000" w:rsidRPr="00000000" w:rsidDel="00000000">
              <w:rPr>
                <w:rtl w:val="0"/>
              </w:rPr>
              <w:t xml:space="preserve"> atbilstoši lēmuma veidam. Elektronisko sakaru komersantam nav jāsaņem pieprasījuma veidlapa, kura vienlaikus, piemēram, ir pielāgota augstākā līmeņa domēna reģistram pavisam par citu lēmuma veidu un aizpildāmie tabulas lauki vienmēr būs tukši. Lūdzam nodrošināt pielāgota satura pieprasījuma veidlapas lēmuma adresātam vismaz pēc adresāta veida.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saprastu, vai regulējums sasniedz noteikto mērķi, lūdzam anotācijā skaidrot, ar kādu mērķi lēmumā ietvertajam pieprasījumam jānosaka forma un vērtēt, vai mērķis ar noteikumu regulējumu tiek sasniegts.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https://titania.saeima.lv/LIVS13/SaeimaLIVS13.nsf/0/8402717C1494731EC225858C002D81EA?OpenDocument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2005. gada 28. jūnija noteikumou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10.punkts par elektronisko dokumentu izstrādāšanu un noformēšanu.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2020. gada 14. jūlija noteikumu Nr. 445 "Kārtība, kādā iestādes ievieto informāciju internetā" 8.punkts noteic, ja iestāde oficiālajā tīmekļvietnē vai mobilajā lietotnē publicē veidlapas, tās tiek veidotas vismaz datņu formātā, kas nodrošina iespēju veidlapu lejupielādēt no tīmekļvietnes, aizpildīt un saglabāt bez ierobežojumiem. Iestāde nodrošina skaidrojumu par veidlapu aizpildīšanu.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https://tai.mk.gov.lv/protokoli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Patērētāju tiesību aizsardzības centrs un Veselības inspekcija (turpmāk – iestāde) sagatavo un nosūta elektronisko sakaru komersantam, augstākā līmeņa domēna reģistram vai domēna vārda reģistratūrai, vai informācijas sabiedrības pakalpojuma sniedzējam Patērētāju tiesību aizsardzības likuma  26.</w:t>
            </w:r>
            <w:r w:rsidR="00000000" w:rsidRPr="00000000" w:rsidDel="00000000">
              <w:rPr>
                <w:vertAlign w:val="superscript"/>
                <w:rtl w:val="0"/>
              </w:rPr>
              <w:t xml:space="preserve">15</w:t>
            </w:r>
            <w:r w:rsidR="00000000" w:rsidRPr="00000000" w:rsidDel="00000000">
              <w:rPr>
                <w:rtl w:val="0"/>
              </w:rPr>
              <w:t xml:space="preserve"> panta piektajā daļā vai likuma “Par atbilstības novērtēšanu” 9.</w:t>
            </w:r>
            <w:r w:rsidR="00000000" w:rsidRPr="00000000" w:rsidDel="00000000">
              <w:rPr>
                <w:vertAlign w:val="superscript"/>
                <w:rtl w:val="0"/>
              </w:rPr>
              <w:t xml:space="preserve">7</w:t>
            </w:r>
            <w:r w:rsidR="00000000" w:rsidRPr="00000000" w:rsidDel="00000000">
              <w:rPr>
                <w:rtl w:val="0"/>
              </w:rPr>
              <w:t xml:space="preserve"> panta trešajā daļā minēto lēmumu, kā arī lēmumā ietveramā pieprasījuma veidlapas paraugu, lēmuma nosūtīšanas veidu, tā izpildes un darbības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Precizitātei aicinām aizstāt vārdu "tā" ar vārdu "lēmuma". Arī likuma pilnvarojumā tiek lietots vārds "lēmuma".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11.11.2022.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11.11.2022.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Atzinumi_22-TA-1433.docx</dc:title>
</cp:coreProperties>
</file>

<file path=docProps/custom.xml><?xml version="1.0" encoding="utf-8"?>
<Properties xmlns="http://schemas.openxmlformats.org/officeDocument/2006/custom-properties" xmlns:vt="http://schemas.openxmlformats.org/officeDocument/2006/docPropsVTypes"/>
</file>