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25-TA-2351: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Krimināllikuma spēkā stāšanās un piemērošanas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Krimināllikuma spēkā stāšanās un piemērošanas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nevar atbalstīt likumprojekta tālāku virzību, kamēr Latvijas normatīvo aktu sistēmā nav nostiprināti definīciju skaidrojumi un nav izveidota to mērīšanas sistēma šādiem direktīvā ietvertiem un Krimināllikumā pārnestiem jēdzieniem, tostarp augsta vides kvalitāte,  ievērojama lieluma vai vidiskās vērtības ekosistēmā,  neatgriezenisks vai ilgs plašs kaitējums, būtisks kaitējums, ievērojams kaitējums u.c.. Šo terminu neskaidrais pielietojums un lielās interpretācijas iespējas rada augstus riskus Krimināllikuma piemērošanai pat pie atļautas saimnieciskās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Krimināllikuma spēkā stāšanās un piemērošanas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likumprojektu papildināt ar jaunu pielikumu (atbilsoši šī likuma 23.panta 3.daļai), nosakot ar likumu aizsargāto interešu apdraudējuma kritērijus, pēc kuriem nosakāms ievērojams kaitējums ekosistēmai, dzīvotnei, dzīvniekiem vai augu sugām. Ņemot vērā, ka risks saņemt nesaērīgu sodu būs mežā strādājošiem, tad nepieciešams papildināt un precizēt arī šī likuma 1.pielikumu "Kritēriji, pēc kuriem nosakāms apdraudējums vai ievērojams apdraudējums ar likumu aizsargātajām interesēm meža vides saglabāšanā", ņemot vērā izmaiņas meža apsaimniekošanu un dabas aizsardzību regulējošos normatīvajos aktos.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23.</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Atbildība par Krimināllikumā XI nodaļā paredzēto noziedzīgo nodarījumu pret dabas vidi, ar kuru radīts būtisks kaitējums, iestājas, ja noziedzīgā nodarījuma rezultātā iestājušās kādas no šā likuma 23. pantā minētajām sekām, vai noziedzīgais nodarījums varēja izraisīt cilvēka nāvi vai smagus miesas bojājumus vai izraisīja vai varēja izraisīt ievērojamu kaitējumu gaisa, augsnes vai ūdens kvalitātei, ievērojamu kaitējumu jūras videi, vai virszemes ūdensobjektu ekoloģiskajam stāvoklim vai ekoloģiskajam potenciālam, vai pazemes ūdensobjektu kvantitatīvajiem rādītājiem vai ievērojamu kaitējumu ekosistēmai, dzīvotnei, dzīvniekiem vai augu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Novērtējot šā panta pirmajā daļā radīto būtisko kaitējumu, ņem vērā vienu vai vairākus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attiecīgo priekšmetu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normatīvajos aktos noteiktais slieksnis, vērtība vai cits noteikts lielums;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attiecīgo īpaši aizsargājamo sugu saglabāšanās stāvoklis;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vides atjaunošanas izmaksas, ja šīs izmaksas ir iespējams novērtēt;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rīcība ir saistīta ar videi vai cilvēka veselībai riskantu vai bīstamu darbību, kuras veikšanai ir nepieciešama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materiāls vai viela ir klasificēta kā bīstama vai citādi kaitīga videi vai cilvēka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citi nozīmīgi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likumprojektu papildināt arī </w:t>
            </w:r>
            <w:r w:rsidR="00000000" w:rsidRPr="00000000" w:rsidDel="00000000">
              <w:rPr>
                <w:b w:val="1"/>
                <w:rtl w:val="0"/>
              </w:rPr>
              <w:t xml:space="preserve">ar vēl vienu jaunu pielikumu</w:t>
            </w:r>
            <w:r w:rsidR="00000000" w:rsidRPr="00000000" w:rsidDel="00000000">
              <w:rPr>
                <w:rtl w:val="0"/>
              </w:rPr>
              <w:t xml:space="preserve"> (atbilsoši šī likuma 23.panta 3.daļai), nosakot ar likumu aizsargāto interešu apdraudējuma kritērijus, pēc kuriem nosakāms: “ievērojams kaitējums gaisa, augsnes vai ūdens kvalitātei, ievērojams kaitējums jūras videi, vai virszemes ūdensobjektu ekoloģiskajam stāvoklim vai ekoloģiskajam potenciālam, vai pazemes ūdensobjektu kvantitatīvajiem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Bāra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25-TA-2351</w:t>
    </w:r>
    <w:r>
      <w:br/>
    </w:r>
    <w:r w:rsidR="00000000" w:rsidRPr="00000000" w:rsidDel="00000000">
      <w:rPr>
        <w:rtl w:val="0"/>
      </w:rPr>
      <w:t xml:space="preserve">Izdrukāts 14.11.2025. 13.35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25-TA-2351</w:t>
    </w:r>
    <w:r>
      <w:br/>
    </w:r>
    <w:r w:rsidR="00000000" w:rsidRPr="00000000" w:rsidDel="00000000">
      <w:rPr>
        <w:rtl w:val="0"/>
      </w:rPr>
      <w:t xml:space="preserve">Izdrukāts 14.11.2025. 13.35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Atzinumi_25-TA-2351.docx</dc:title>
</cp:coreProperties>
</file>

<file path=docProps/custom.xml><?xml version="1.0" encoding="utf-8"?>
<Properties xmlns="http://schemas.openxmlformats.org/officeDocument/2006/custom-properties" xmlns:vt="http://schemas.openxmlformats.org/officeDocument/2006/docPropsVTypes"/>
</file>