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5. novembra noteikumos Nr. 1245 "Kārtība, kādā tiek veikta informācijas apmaiņa nodokļu jomā starp Latvijas un citu Eiropas Savienības dalībvalstu kompetentajām iestādēm un ārvalstu kompetentajām iestādēm, ar kurām ir noslēgti Latvijas Republikas Saeimas apstiprināti starptautiskie līgumi"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3. ar dzīvības apdrošināšanu saistītie ienākumi, kas nav regulēti ar citiem Eiropas Savienības normatīvajiem aktiem par informācijas apmaiņu. Ar šādiem ienākumiem saprot apdrošināšanas līgumus likuma "Par nodokļiem un nodevām" 92.</w:t>
            </w:r>
            <w:r w:rsidR="00000000" w:rsidRPr="00000000" w:rsidDel="00000000">
              <w:rPr>
                <w:vertAlign w:val="superscript"/>
                <w:rtl w:val="0"/>
              </w:rPr>
              <w:t xml:space="preserve">1 </w:t>
            </w:r>
            <w:r w:rsidR="00000000" w:rsidRPr="00000000" w:rsidDel="00000000">
              <w:rPr>
                <w:rtl w:val="0"/>
              </w:rPr>
              <w:t xml:space="preserve">panta izpratnē, saskaņā ar kuru apdrošinājuma devējs uzņemas saistības maksāt noteiktu summu polises turētāja nāves gadījumā, bet neietver apdrošināšanas līgumus ar līdzekļu uzkrāšanu likuma “Par nodokļiem un nodevām” 93.panta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apakšpunktu, jo Ministru kabineta noteikumi nav Eiropas Savienības normatīvie akti, attiecīgi norāde uz </w:t>
            </w:r>
            <w:r w:rsidR="00000000" w:rsidRPr="00000000" w:rsidDel="00000000">
              <w:rPr>
                <w:u w:val="single"/>
                <w:rtl w:val="0"/>
              </w:rPr>
              <w:t xml:space="preserve">citiem</w:t>
            </w:r>
            <w:r w:rsidR="00000000" w:rsidRPr="00000000" w:rsidDel="00000000">
              <w:rPr>
                <w:rtl w:val="0"/>
              </w:rPr>
              <w:t xml:space="preserve"> Eiropas Savienības normatīvajiem aktiem nav korekta. Norādām, ka Padomes 2023. gada 17. oktobra Direktīvā 2023/2226/ES, ar ko groza Direktīvu 2011/16/ES par administratīvu sadarbību nodokļu jomā (turpmāk - Direktīva 2023/2226/ES), šāda norāde ir saprotama, jo direktīva ir Eiropas Savienības normatīvais akts (pašā direktīvā lietots formulējums "citi Savienības juridiskie instrumenti par informācijas apmaiņu un citi līdzīgi pasākumi"), taču projekts, ar ko tiek pārņemta attiecīgā direktīvas prasība, ir Latvijas nacionālais normatīvais akts. Attiecīgi aicinām precizēt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atgādinām, ka Latvijas nacionālajos normatīvajos aktos pieļaujams izdarīt atsauces uz </w:t>
            </w:r>
            <w:r w:rsidR="00000000" w:rsidRPr="00000000" w:rsidDel="00000000">
              <w:rPr>
                <w:u w:val="single"/>
                <w:rtl w:val="0"/>
              </w:rPr>
              <w:t xml:space="preserve">tieši piemērojamiem</w:t>
            </w:r>
            <w:r w:rsidR="00000000" w:rsidRPr="00000000" w:rsidDel="00000000">
              <w:rPr>
                <w:rtl w:val="0"/>
              </w:rPr>
              <w:t xml:space="preserve"> Eiropas Savienības normatīvajiem aktiem (piemēram, regulām). Ja nepieciešams atsaukties uz direktīvās ietverto regulējumu, atsauce veidojama uz Latvijas normatīvo aktu vai aktiem, kuros pārņemta attiecīgā direktīva vai direktīvas, vai normatīvajiem aktiem noteiktā jomā atbilstoši atbilstoši Ministru kabineta 2009. gada 3. februāra noteikumu Nr. 108 "Normatīvo aktu projektu sagatavošanas noteikumi" 137.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Noteikumu </w:t>
            </w:r>
            <w:r w:rsidR="00000000" w:rsidRPr="00000000" w:rsidDel="00000000">
              <w:rPr>
                <w:rtl w:val="0"/>
              </w:rPr>
              <w:t xml:space="preserve">14.</w:t>
            </w:r>
            <w:r w:rsidR="00000000" w:rsidRPr="00000000" w:rsidDel="00000000">
              <w:rPr>
                <w:vertAlign w:val="superscript"/>
                <w:rtl w:val="0"/>
              </w:rPr>
              <w:t xml:space="preserve">12</w:t>
            </w:r>
            <w:r w:rsidR="00000000" w:rsidRPr="00000000" w:rsidDel="00000000">
              <w:rPr>
                <w:rtl w:val="0"/>
              </w:rPr>
              <w:t xml:space="preserve"> </w:t>
            </w:r>
            <w:r w:rsidR="00000000" w:rsidRPr="00000000" w:rsidDel="00000000">
              <w:rPr>
                <w:rtl w:val="0"/>
              </w:rPr>
              <w:t xml:space="preserve">punkts</w:t>
            </w:r>
            <w:r w:rsidR="00000000" w:rsidRPr="00000000" w:rsidDel="00000000">
              <w:rPr>
                <w:rtl w:val="0"/>
              </w:rPr>
              <w:t xml:space="preserve">  piemērojams iepriekšējiem pārrobežu nolēmumiem, kas ir izdoti, grozīti vai atjaunoti pēc 2026.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ar projekta 1.4. un 1.7. apakšpunktu tiek pilnībā un korekti pārņemts Direktīvas 2023/2226/ES 1. panta 3. punkta "a" apakšpunkts attiecībā uz Padomes 2011. gada 15. februāra Direktīvas 2011/16/ES par administratīvo sadarbību nodokļu jomā un ar ko atceļ Direktīvu 77/799/EEK (turpmāk - Direktīva 2011/16/ES) 8.a pantu 4. punkta ievaddaļu. Proti, projekta 1.7. apakšpunkts noteic, ka noteikumu 14.</w:t>
            </w:r>
            <w:r w:rsidR="00000000" w:rsidRPr="00000000" w:rsidDel="00000000">
              <w:rPr>
                <w:vertAlign w:val="superscript"/>
                <w:rtl w:val="0"/>
              </w:rPr>
              <w:t xml:space="preserve">12 </w:t>
            </w:r>
            <w:r w:rsidR="00000000" w:rsidRPr="00000000" w:rsidDel="00000000">
              <w:rPr>
                <w:rtl w:val="0"/>
              </w:rPr>
              <w:t xml:space="preserve">punkts piemērojams iepriekšējiem pārrobežu nolēmumiem, kas ir izdoti, grozīti vai atjaunoti pēc 2026. gada 1. janvāra. Vienlaikus norādām, ka no normas varētu nebūt viennozīmīgi skaidrs, kas tieši domāts ar punkta piemērošanu attiecīgiem iepriekšējiem pārrobežu nolēmumiem. Turklāt noteikumu 14.</w:t>
            </w:r>
            <w:r w:rsidR="00000000" w:rsidRPr="00000000" w:rsidDel="00000000">
              <w:rPr>
                <w:vertAlign w:val="superscript"/>
                <w:rtl w:val="0"/>
              </w:rPr>
              <w:t xml:space="preserve">2</w:t>
            </w:r>
            <w:r w:rsidR="00000000" w:rsidRPr="00000000" w:rsidDel="00000000">
              <w:rPr>
                <w:rtl w:val="0"/>
              </w:rPr>
              <w:t xml:space="preserve"> punkts jau šobrīd ir ietverts noteikumu spēkā esošajā redakcijā, un ar projektu tiek grozīts. Direktīvas 2023/2226/ES 1. panta 3. punkta "a" apakšpunkta ievaddaļa noteic: "</w:t>
            </w:r>
            <w:r w:rsidR="00000000" w:rsidRPr="00000000" w:rsidDel="00000000">
              <w:rPr>
                <w:i w:val="1"/>
                <w:rtl w:val="0"/>
              </w:rPr>
              <w:t xml:space="preserve">Panta 1. un 2. punktu nepiemēro, ja iepriekšējs pārrobežu nolēmums attiecas tikai uz vienas vai vairāku fizisku personu nodokļu lietām, </w:t>
            </w:r>
            <w:r w:rsidR="00000000" w:rsidRPr="00000000" w:rsidDel="00000000">
              <w:rPr>
                <w:i w:val="1"/>
                <w:u w:val="single"/>
                <w:rtl w:val="0"/>
              </w:rPr>
              <w:t xml:space="preserve">izņemot gadījumus, kad šāds iepriekšējs pārrobežu nolēmums ir izdots, grozīts vai atjaunots pēc 2026. gada 1. janvāra, un gadījumos, kad</w:t>
            </w:r>
            <w:r w:rsidR="00000000" w:rsidRPr="00000000" w:rsidDel="00000000">
              <w:rPr>
                <w:i w:val="1"/>
                <w:rtl w:val="0"/>
              </w:rPr>
              <w:t xml:space="preserve">: [..]</w:t>
            </w:r>
            <w:r w:rsidR="00000000" w:rsidRPr="00000000" w:rsidDel="00000000">
              <w:rPr>
                <w:rtl w:val="0"/>
              </w:rPr>
              <w:t xml:space="preserve">." Paužam bažas, ka minētais varētu nebūt viennozīmīgi skaidrs no projekta 1.4. un 1.7. apakšpunkta pašreizējās redakcijas. Attiecīgi aicinām izvērtēt un precizēt redakciju vai sniegt pamatotu skaidrojumu, kā projektā pilnībā un korekti pārņemta direktīvas norma.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noteikt jaunu apstrādājamo personas datu kategoriju - dividenžu ienākumi no nefiduciāriem kontiem, aicinām atzīmēt, ka projekts skar personas datu aizsrdzību, kā arī  aizpildīt anotācijas 8.1.13.  apakšpunktu atbilstoši Valsts kancelejas vadlīnijām.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3. ar dzīvības apdrošināšanu saistītie ienākumi, kas nav regulēti ar citiem Eiropas Savienības normatīvajiem aktiem par informācijas apmaiņu. Ar šādiem ienākumiem saprot apdrošināšanas līgumus likuma "Par nodokļiem un nodevām" 92.</w:t>
            </w:r>
            <w:r w:rsidR="00000000" w:rsidRPr="00000000" w:rsidDel="00000000">
              <w:rPr>
                <w:vertAlign w:val="superscript"/>
                <w:rtl w:val="0"/>
              </w:rPr>
              <w:t xml:space="preserve">1 </w:t>
            </w:r>
            <w:r w:rsidR="00000000" w:rsidRPr="00000000" w:rsidDel="00000000">
              <w:rPr>
                <w:rtl w:val="0"/>
              </w:rPr>
              <w:t xml:space="preserve">panta izpratnē, saskaņā ar kuru apdrošinājuma devējs uzņemas saistības maksāt noteiktu summu polises turētāja nāves gadījumā, bet neietver apdrošināšanas līgumus ar līdzekļu uzkrāšanu likuma “Par nodokļiem un nodevām” 93.panta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lai ieviestu Eiropas Savienības tiesību normas nacionālajā tiesību sistēmā, nav obligāti, lai to saturs skaidri un detalizēti formālā un tekstuālā ziņā tiktu pārrakstīts normatīvajos aktos, lūdzam izvērtēt, vai projekta 1.1. apakšpunktā (noteikumu 11.</w:t>
            </w:r>
            <w:r w:rsidR="00000000" w:rsidRPr="00000000" w:rsidDel="00000000">
              <w:rPr>
                <w:vertAlign w:val="superscript"/>
                <w:rtl w:val="0"/>
              </w:rPr>
              <w:t xml:space="preserve">1</w:t>
            </w:r>
            <w:r w:rsidR="00000000" w:rsidRPr="00000000" w:rsidDel="00000000">
              <w:rPr>
                <w:rtl w:val="0"/>
              </w:rPr>
              <w:t xml:space="preserve"> 3. apakšpunktā) tiek korekti pārņemts Direktīvas 2023/2226 1. panta 1. punkta "c" apakšpunkts attiecībā uz Direktīvas 2011/16/ES 3. panta 29. punktu ("</w:t>
            </w:r>
            <w:r w:rsidR="00000000" w:rsidRPr="00000000" w:rsidDel="00000000">
              <w:rPr>
                <w:i w:val="1"/>
                <w:rtl w:val="0"/>
              </w:rPr>
              <w:t xml:space="preserve">dzīvības apdrošināšanas produkti, kas nav reglamentēti ar citiem Savienības juridiskiem instrumentiem par informācijas apmaiņu un ar citiem līdzīgiem pasākumiem” ir </w:t>
            </w:r>
            <w:r w:rsidR="00000000" w:rsidRPr="00000000" w:rsidDel="00000000">
              <w:rPr>
                <w:i w:val="1"/>
                <w:u w:val="single"/>
                <w:rtl w:val="0"/>
              </w:rPr>
              <w:t xml:space="preserve">Apdrošināšanas līgumi, </w:t>
            </w:r>
            <w:r w:rsidR="00000000" w:rsidRPr="00000000" w:rsidDel="00000000">
              <w:rPr>
                <w:b w:val="1"/>
                <w:i w:val="1"/>
                <w:u w:val="single"/>
                <w:rtl w:val="0"/>
              </w:rPr>
              <w:t xml:space="preserve">kas nav</w:t>
            </w:r>
            <w:r w:rsidR="00000000" w:rsidRPr="00000000" w:rsidDel="00000000">
              <w:rPr>
                <w:i w:val="1"/>
                <w:u w:val="single"/>
                <w:rtl w:val="0"/>
              </w:rPr>
              <w:t xml:space="preserve"> Apdrošināšanas līgumi ar naudas vērtību, par kuriem jāsniedz ziņojumi saskaņā ar I pielikuma I iedaļu,</w:t>
            </w:r>
            <w:r w:rsidR="00000000" w:rsidRPr="00000000" w:rsidDel="00000000">
              <w:rPr>
                <w:b w:val="1"/>
                <w:i w:val="1"/>
                <w:u w:val="single"/>
                <w:rtl w:val="0"/>
              </w:rPr>
              <w:t xml:space="preserve"> ja</w:t>
            </w:r>
            <w:r w:rsidR="00000000" w:rsidRPr="00000000" w:rsidDel="00000000">
              <w:rPr>
                <w:i w:val="1"/>
                <w:rtl w:val="0"/>
              </w:rPr>
              <w:t xml:space="preserve"> pabalsti saskaņā ar līgumiem tiek izmaksāti polises turētāja nāves gadījumā</w:t>
            </w:r>
            <w:r w:rsidR="00000000" w:rsidRPr="00000000" w:rsidDel="00000000">
              <w:rPr>
                <w:rtl w:val="0"/>
              </w:rPr>
              <w:t xml:space="preserve">"). Ja nepieciešams, aicinām precizēt projektu. Alternatīvi aicinām sniegt izvērstāku skaidrojumu anotācijā par direktīvas prasības pilnīgu un korektu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25-TA-2532</w:t>
    </w:r>
    <w:r>
      <w:br/>
    </w:r>
    <w:r w:rsidR="00000000" w:rsidRPr="00000000" w:rsidDel="00000000">
      <w:rPr>
        <w:rtl w:val="0"/>
      </w:rPr>
      <w:t xml:space="preserve">Izdrukāts 28.11.2025.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25-TA-2532</w:t>
    </w:r>
    <w:r>
      <w:br/>
    </w:r>
    <w:r w:rsidR="00000000" w:rsidRPr="00000000" w:rsidDel="00000000">
      <w:rPr>
        <w:rtl w:val="0"/>
      </w:rPr>
      <w:t xml:space="preserve">Izdrukāts 28.11.2025.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Atzinumi_25-TA-2532.docx</dc:title>
</cp:coreProperties>
</file>

<file path=docProps/custom.xml><?xml version="1.0" encoding="utf-8"?>
<Properties xmlns="http://schemas.openxmlformats.org/officeDocument/2006/custom-properties" xmlns:vt="http://schemas.openxmlformats.org/officeDocument/2006/docPropsVTypes"/>
</file>