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dažādos normatīvajos aktos vieni un tie paši termini var tikt saprasti dažādi. Vai ar mājsaimniecību varēs saprast arī vienu individuālu personu. Ja jā, tad iebildumu nav, un lūdzam precizēt anotāciju, lai tas būtu skaidrāk saprotams. Ja nevarēs saprast, tad lūdzam izteikt šo normu citā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2. punktā vārdus " un ģimeņu” ar vārdu “mājsaimniecību”;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 Sabiedriskā labuma organizāciju iedalījums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nodibinājums vai reliģiskā organizācija, kas piesakās sabiedriskā labuma organizācijas statusam, var izvēlēties vienu no sabiedriskā labuma organizācijas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pakāpes sabiedriskā labuma organizācijas statuss - var pieteikties biedrība, nodibinājums vai reliģiskā organizācija, kura veic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otrās pakāpes sabiedriskā labuma organizācijas statuss - var pieteikties biedrība, nodibinājums, reliģiskā organizācija vai pirmās pakāpes sabiedriskā labuma organizācija, kurām ir vismaz divu gadu darbības pieredze sabiedriskā labuma darbībā un tā veic sistemātisku un regulāru darbību ar saprotamiem un mērāmiem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nodibinājums, reliģiskā organizācija vai pirmās pakāpes sabiedriskā labuma organizācija, kas sniedz palīdzību katastrofu vai ārkārtējo situāciju gadījumā, var pieteikties otrās pakāpes sabiedriskā labuma organizācijas statusam, neievērojot šā panta pirmās daļas otrajā punktā minētos nosacījumus. Par otrās pakāpes sabiedriskā labuma organizācijas statusa piešķiršanu tiek lemts tuvākajā iespējamajā komisijas sēdē pēc visas nepieciešamās informācijas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Otrās pakāpes sabiedriskā labuma organizācija var pieteikties pirmās pakāpes sabiedriskā labuma organizācijas statusam, ja tās saņemtie ziedojumi pilnā apmēra ir izlietoti vai nodoti citai vai citām, ja tādas ir vairākas, otrās pakāpes sabiedriskā labuma organizācijām. Kārtību, kādā tiek nodoti otrās pakāpes sabiedriskā labuma organizācijas neizmantotie ziedojumi,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sabiedriskā labuma organizāciju darbību un attīstību" virzības gaitā  Finanšu ministrija, reaģējot uz LPS viedoklī pausto, atzina, ka "Piekrītam paustajam viedoklim, ka pamata nosacījums ir nevis NVO veids - vai tā ir biedru organizācija vai cits formāts, bet veicamā sabiedriskā labuma darbība un sasniegtais sabiedriskā labuma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paudām atzinumā iepriekšminētā  Informatīvā ziņojuma  tapšanas laikā, LPS kā pašvaldības apvienojoša pašvaldību organizācija (biedrība), ir iesaistījusies virknē aktivitāšu (gan tiešu, ņemot vērā sabiedriskā labuma statusu, gan netiešu), kas vērstas arī uz visas sabiedrības  vai  daļu tās labuma gūšanu. Šīs darbības LPS  ir veikusi biedru naudas ietvaros, neieturot pieļaujamo daļu administratīvajiem izdevumiem. Kā apjomīgākais tiešais piemērs atzīmējams Latvenergo dāvinājums (ziedojums)- sociālā atbalsta kampaņa  apkures sezonas laikā "Elektrības norēķinu kartes - 500 kWh", kas noritēja vairākus gadus periodā no 2009.gada un kur galvenās mērķa grupas (labuma guvēji) bija garantētā minimālā ienākuma pabalsta saņēmēju mājsaimniecības. LPS veica lielu un laikietilpīgu darbu visu procesu koordinēšanai ar katru no pašvaldībām un attiecīgi apkopotās informācijas nodošanu Latvenergo.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uzsvērt vairākus uz sabiedrisko labumu vērstus pasākumus (jeb netiešus piemērus), kur ir bijusi iesaistīta vai ir iesaistīta LPS.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iedzīvotāju interešu aizstāvēšana, kam varētu būt problemātiski elektroniskā veidā iesniegt gada ienākumu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par publisko ūdeņu, jūras un liedaga nenonākšanu privātīpašumā;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 pasākumu, kas saistīti ar COVID-19 pandēmiju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visās krīzēs LPS kā Valdības sadarbības partneris ir veikusi patiesu sabiedriskā labuma darbu un var teikt, ka tas ir gan vairākkārt pierādījies, gan nav izslēgta tā nepieciešamība arī turpmāk. COVID-19 pandēmijas laiks, jo īpaši, ir parādījis nepieciešamību ātri rīkoties un iesaistīties dažādos pasākumos ar lielāku vai mazāku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 ir publiska, visi LPS biedri ir zināmi. Faktiski vērtējot juridisko formu- biedrība, biedrības ir gan valstiskā sektora, gan nevalstiskā. No šī faktora arī automātiski izriet noteiktas atšķirības, lai arī tās nav tieši atrunātas Biedrību un nodibinājumu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1.punkts nosaka statusu tām organizācijām, kam sabiedriskā labuma statuss ir piešķirts uz likuma spēkā 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iepriekšminēto, aicinām izdalīt LPS kā biedrību, kas atbilst Pašvaldību likumā noteiktajam statusam un apvieno pašvaldības (publisko sektoru), nosakot LPS tiesības pretendēt uz sabiedriskā labuma statusu, proti, nosakot atsevišķu statusu. Iespējams plānotais dalījums "divu pakāpju SLO" (ja pakāpes vispār tiks atbalstītas likuma apspriešanas gaitā) var tikt papildināts ar SLO 3,  arī šai pakāpei nosakot noteiktus nosacījumus. Iespējams līdz ar to tam atbilstu vēl noteiktas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atbildīgās ministrijas pozīciju par iepriekšminēto, jo Informatīvā ziņojuma tapšanas laikā skaidrojums par šo izziņā netika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w:t>
            </w:r>
            <w:r w:rsidR="00000000" w:rsidRPr="00000000" w:rsidDel="00000000">
              <w:rPr>
                <w:b w:val="1"/>
                <w:vertAlign w:val="superscript"/>
                <w:rtl w:val="0"/>
              </w:rPr>
              <w:t xml:space="preserve">1</w:t>
            </w:r>
            <w:r w:rsidR="00000000" w:rsidRPr="00000000" w:rsidDel="00000000">
              <w:rPr>
                <w:b w:val="1"/>
                <w:rtl w:val="0"/>
              </w:rPr>
              <w:t xml:space="preserve"> pants. Caurskatāmības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 izvērtējot biedrības, nodibinājuma vai reliģiskās organizācijas, kurai ir piešķirts sabiedriskā labuma organizācijas statuss, gada pārskata Vadības ziņojumā sniegto informāciju par sabiedriskā labuma organizācijas darbību (turpmāk – darbības pārskats), katram izvērtētajam darbības pārskatam piešķir caurskatāmības koeficientu. Komisijas piešķirto caurskatāmības koeficientu ieraksta komisijas atzinumā pie attiecīgās sabiedriskā labuma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par savu darbību un sabiedrībai sniegto sabiedrisko labumu sniedz izvērstu informāciju, kas ir izteikta skaitliski, turpmākās darbības plāni ir skaidri, saprotami un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 par savu darbību un sabiedrībai sniegto sabiedrisko labumu sniedz izvērstu informāciju, kas ir daļēji izteikta skaitliski, turpmākās darbības plāni ir skaidri, saprotami un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 par savu darbību un sabiedrībai sniegto sabiedrisko labumu sniedz īsu informāciju, kas daļēji izteikta skaitliski, turpmākās darbības plāni ir vispārīgi, kas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organizācijas, kuras darbības pārskats netiek vērtēts komisijā, Valsts ieņēmumu dienests, piešķir caurskatāmības koeficientu, izvērtējot darbības pārskata iesniegšanas savlaicīgumu un precizēšanas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darbības pārskats iesniegts termiņā un labojumi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organizācijas darbības pārskats iesniegts pēc saņemtā atgādinājuma no Valsts ieņēmumu dienesta vai pēc likumā noteiktā termiņa vai labojumi sniegti vienu līdz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organizācijas darbības pārskats iesniegts pēc atkārtota atgādinājuma no Valsts ieņēmumu dienesta vai labojumi sniegti trīs un vairāk reizes.(3) Sabiedriskā labuma organizācijas caurskatāmības koeficientam ir informatīvs raksturs.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vērtēt un skaidrot plānotā jauninājuma- "caurskatāmības koeficients"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sabiedriskā labuma  jomas, kur jau objektīvi ir ierobežota iespēja sniegt izvērstu informāciju, kas izteikta skaitliski. Līdz ar to ir ļoti diskutabli veidot dalījumu tādējādi, ka ja informācija par sabiedrībai sniegto sabiedrisko labumu ir daļēji izteikta skaitliski, tas ir viens no pamatiem dzeltenam (un nevis zaļam) caurskatāmības koeficientam.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Informatīvā ziņojuma ""Par sabiedriskā labuma organizāciju darbību un attīstību" virzības gaitā rosinājām noteikt pienākumu pretendējot uz sabiedriskā labuma statusu (iespējams nākamajā posmā arī visām biedrībām, nodibinājumiem) publicēt biedru sarakstu, ja tās pretendē uz jebkāda veida valsts vai pašvaldības atbalstu, piedalās lobēšanā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Lobēšana  un šajā jomā pieņemtais regulējums ir tikai viens no aspektiem, bet  biedru saraksta publiskošana ir  svarīga kopumā. Līdz ar ko tas būtu ietverams tieši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norādot konkrētas plānotās veicamās darbības saistībā ar iepriekšminēto.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iebildi par 7.panta  1</w:t>
            </w:r>
            <w:r w:rsidR="00000000" w:rsidRPr="00000000" w:rsidDel="00000000">
              <w:rPr>
                <w:vertAlign w:val="superscript"/>
                <w:rtl w:val="0"/>
              </w:rPr>
              <w:t xml:space="preserve">1 </w:t>
            </w:r>
            <w:r w:rsidR="00000000" w:rsidRPr="00000000" w:rsidDel="00000000">
              <w:rPr>
                <w:rtl w:val="0"/>
              </w:rPr>
              <w:t xml:space="preserve">daļā noteikto principu. Darbības jomu izvēlei ir jābūt attiecīgo organizāciju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8.panta 1</w:t>
            </w:r>
            <w:r w:rsidR="00000000" w:rsidRPr="00000000" w:rsidDel="00000000">
              <w:rPr>
                <w:vertAlign w:val="superscript"/>
                <w:rtl w:val="0"/>
              </w:rPr>
              <w:t xml:space="preserve">1  </w:t>
            </w:r>
            <w:r w:rsidR="00000000" w:rsidRPr="00000000" w:rsidDel="00000000">
              <w:rPr>
                <w:rtl w:val="0"/>
              </w:rPr>
              <w:t xml:space="preserve">daļas  regulējums nav samērīgs, izņemot  1</w:t>
            </w:r>
            <w:r w:rsidR="00000000" w:rsidRPr="00000000" w:rsidDel="00000000">
              <w:rPr>
                <w:vertAlign w:val="superscript"/>
                <w:rtl w:val="0"/>
              </w:rPr>
              <w:t xml:space="preserve">1  </w:t>
            </w:r>
            <w:r w:rsidR="00000000" w:rsidRPr="00000000" w:rsidDel="00000000">
              <w:rPr>
                <w:rtl w:val="0"/>
              </w:rPr>
              <w:t xml:space="preserve">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kādēļ  lēmumu par atteikumu piešķirt sabiedriskā labuma organizācijas statusu visos gadījumos jāpieņem "bez izskatīšanas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ka gada pārskata neiesniegšanas gadījumā un gadījumā, kad ir neizpildītas saistības nodokļu jomā, VID  vienu reizi nosūta par to  informāciju attiecīgajai organizācijai. Apsvērts varētu tikt arī variants par parādu, kas kopsummā nepārsniedz 150 euro, kas jau, kā zināms, ir normatīvajos aktos noteikts slieksnis.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nesamērīgs ir 4.punkta nosacījums par valdes locekli. Pirmkārt, attiecīgajai organizācijai šī informācija var nebūt. Otrkārt, formulējums ir kopumā neskaidrs.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pants. Sabiedriskā labuma organizāciju tiesības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Sabiedriskā labuma organizācija veic tādu saimniecisko darbību, kas veicina sabiedriskā labuma organizācijas statūtos minēto sabiedriskā labuma darbību. Sabiedriskā labuma organizāciju likuma izpratnē par saimniecisko darbību ir uzskatāma jebkura darbība par atlīdzību, kas nav sabiedriskā labuma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grāmatvedības uzskaitē nodala sabiedriskā labuma darbības ieņēmumu un izdevumu uzskaiti no saimnieciskās darbības ieņēmumu un izdevumu uzskaites, norādot detalizēti sabiedriskā labuma darbības un saimnieciskās darbības ieņēmumus un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organizācijai aizliegts veikt saimniecisko darbību tādās jomās kā sprāgstvielu, ieroču un munīcijas ražošana un tirdzniecība, alkoholisko dzērienu ražošana (izņemot mazās alkoholisko dzērienu darītavas), tabakas izstrādājumu ražošana un tirdzniecība, azartspēles un derības, finanšu un apdrošināšanas darbības vai jomās, kas apdraud sabiedrības drošību un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skaidrot 10.</w:t>
            </w:r>
            <w:r w:rsidR="00000000" w:rsidRPr="00000000" w:rsidDel="00000000">
              <w:rPr>
                <w:vertAlign w:val="superscript"/>
                <w:rtl w:val="0"/>
              </w:rPr>
              <w:t xml:space="preserve">1 </w:t>
            </w:r>
            <w:r w:rsidR="00000000" w:rsidRPr="00000000" w:rsidDel="00000000">
              <w:rPr>
                <w:rtl w:val="0"/>
              </w:rPr>
              <w:t xml:space="preserve">panta pirmajā daļā noteikto ierobežojošo nosacījumu par saimnieciskās darbības ieņēmumu izmantošanas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1 </w:t>
            </w:r>
            <w:r w:rsidR="00000000" w:rsidRPr="00000000" w:rsidDel="00000000">
              <w:rPr>
                <w:b w:val="1"/>
                <w:rtl w:val="0"/>
              </w:rPr>
              <w:t xml:space="preserve">pants. Sabiedriskā labuma organizācijas dibinātāju, valdes vai vadības institūcijas locekļa kompetence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vai vadības institūcijas loceklis pārzina un vada sabiedriskā labuma organizācijas lietas kā krietns un rūpīgs saimnieks.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vai vadības institūcijas loceklis pārvalda un ir atbildīgs par sabiedriskā labuma organizācijas mantu un rīkojas ar tās līdzekļiem atbilstoši likumiem, statūtiem, biedru sapulces vai citu institūciju lēmumiem, kā arī ievērojot šā likuma 11. un 12. pantā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Dibinātāji, valdes vai vadības institūcijas locekļi ir solidāri atbildīgi par zaudējumiem, kas nodarīti sabiedriskā labuma organizācijai viņu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dibinātājs, valdes vai vadības institūcijas loceklis izstājas no sabiedriskā labuma organizācijas, viņš atbild tikai par tām saistībām, kuras radušās pirms viņa izstāšanās un kuru izpildes termiņš vai nosacījums iestājies pēc viņa izstāšanās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sabiedriskā labuma organizācijas valdes vai vadības institūcijas locekli nevar būt persona, kura ir bijusi valdes vai vadības institūcijas loceklis sabiedriskā labuma organizācijā, kurai atņemts sabiedriskā labuma organizācijas statuss, izņemot gadījumus, kuros sabiedriskā labuma organizācijas statuss atņemts saskaņā ar šā likuma 14. panta 1.</w:t>
            </w:r>
            <w:r w:rsidR="00000000" w:rsidRPr="00000000" w:rsidDel="00000000">
              <w:rPr>
                <w:vertAlign w:val="superscript"/>
                <w:rtl w:val="0"/>
              </w:rPr>
              <w:t xml:space="preserve">1</w:t>
            </w:r>
            <w:r w:rsidR="00000000" w:rsidRPr="00000000" w:rsidDel="00000000">
              <w:rPr>
                <w:rtl w:val="0"/>
              </w:rPr>
              <w:t xml:space="preserve">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minētais aizliegums ilgst 12 mēnešus no lēmuma par sabiedriskā labuma organizācijas statusa atņemšanu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piektajā daļā minētais sabiedriskā labuma organizācijas valdes vai vadības institūcijas loceklis ir valdes vai vadības institūcijas loceklis arī citā sabiedriskā labuma organizācijā, tad šāda sabiedriskā labuma organizācija trīs mēnešu laikā nodrošina attiecīgā valdes vai vadības institūcijas locekļa maiņu.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sabiedriskā labuma organizācijas statusa atņemšanas pamati var būt ļoti dažādi, piedāvātā piektā daļa ir ļoti diskutabla. Rosinām to detalizēti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sabiedriskā labuma organizācijas darbība trīs pārskata gadu periodā nesasniedz vai neapliecina virzību uz sabiedriskā labuma organizācijas izvirzīto uzdevumu sasniegšanu, kas vērsti uz sabiedriskā labuma mērķi jomā, kas ir minēta lēmumā par sabiedriskā labuma organizācijas statusa piešķiršanu vai lēmumā par papildu jomas piešķiršanu, ja papildu joma tika piešķirta vai sabiedriskā labuma organizācijas darbība un virzība pirmajos divos pārskata gados uz izvirzīto uzdevumu sasniegšanu nav pārliecinoša;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sabiedriskā labuma organizācija veic tādu saimniecisko darbību, kas neveicina sabiedriskā labuma organizācijas statūtos minēto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izslēgt  14.panta pirmās daļas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Ierobežojošs un neskaidrs nosacījums, kas  vienlaikus izraisa tālejošas negatīvas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sabiedriskā labuma organizācijas darbība trīs pārskata gadu periodā nesasniedz vai neapliecina virzību uz sabiedriskā labuma organizācijas izvirzīto uzdevumu sasniegšanu, kas vērsti uz sabiedriskā labuma mērķi jomā, kas ir minēta lēmumā par sabiedriskā labuma organizācijas statusa piešķiršanu vai lēmumā par papildu jomas piešķiršanu, ja papildu joma tika piešķirta vai sabiedriskā labuma organizācijas darbība un virzība pirmajos divos pārskata gados uz izvirzīto uzdevumu sasniegšanu nav pārliecinoša;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sabiedriskā labuma organizācija veic tādu saimniecisko darbību, kas neveicina sabiedriskā labuma organizācijas statūtos minēto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14.panta 8.punktā ietvertais formulējums- "virzība pirmajos divos pārskata gados uz izvirzīto uzdevumu sasniegšanu nav pārliecinoša",  ir plaši interpretējams un vienlaikus ar tālejošām sekām. Aicinām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14.panta 1</w:t>
            </w:r>
            <w:r w:rsidR="00000000" w:rsidRPr="00000000" w:rsidDel="00000000">
              <w:rPr>
                <w:vertAlign w:val="superscript"/>
                <w:rtl w:val="0"/>
              </w:rPr>
              <w:t xml:space="preserve">1 </w:t>
            </w:r>
            <w:r w:rsidR="00000000" w:rsidRPr="00000000" w:rsidDel="00000000">
              <w:rPr>
                <w:rtl w:val="0"/>
              </w:rPr>
              <w:t xml:space="preserve">daļā aicinām ņemt vērā jau LPS iepriekš pausto pie 8.panta.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19. pants. Administratīvie pārkāpumi sabiedriskā labuma darbības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sabiedriskā labuma organizācijas mantas, finanšu līdzekļu un 9. panta pirmajā daļā minēto ziedojumu izlietošanu, kas neatbilst attiecīgās sabiedriskā labuma organizācijas statūtos, satversmē vai nolikumā norādītajam mērķim, jomā vai jomās, kas norādīta lēmumā par statusa piešķiršanu, neievērojot šā likuma nosacījumus,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sabiedriskā labuma organizācijas darbību, kas neatbilst attiecīgās sabiedriskā labuma organizācijas statūtos, satversmē vai nolikumā norādītajam mērķim, jomā vai jomās, kas norādīta lēmumā par statusa piešķiršanu, neievērojot šā likuma nosacījumus,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sabiedriskā labuma organizācija veic saimniecisko darbību, kas nav saistīta ar sabiedriskā labuma organizācijas statūtos, satversmē vai nolikumā norādītā mērķa sasniegšanu, jomā vai jomās, kas norādīta lēmumā par statusa piešķiršanu,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  paustajam par ierobežojošo nosacījumu par saimnieciskās darbības ieņēmumu izmantošanas mērķi (10.</w:t>
            </w:r>
            <w:r w:rsidR="00000000" w:rsidRPr="00000000" w:rsidDel="00000000">
              <w:rPr>
                <w:vertAlign w:val="superscript"/>
                <w:rtl w:val="0"/>
              </w:rPr>
              <w:t xml:space="preserve">1 </w:t>
            </w:r>
            <w:r w:rsidR="00000000" w:rsidRPr="00000000" w:rsidDel="00000000">
              <w:rPr>
                <w:rtl w:val="0"/>
              </w:rPr>
              <w:t xml:space="preserve">panta pirmā daļa) , iebilstam arī pret 19.panta trešajā daļā paredzēto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tieši noteikti saimnieciskās darbības veidi, kas veicina sabiedriskā labuma darbību. Līdz ar ko pastāvot tik plašām interpretācijas iespējām noteikt par to atbildību, nav atbalstāmi un samērīgi.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kopumā saistībā ar  jauno 19.pantu rosinām pamatot tā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kādēļ tiek paredzēta tik liela soda amplitūda.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Organizācijai, kurai uz grozījumu spēkā stāšanās dienu ir piešķirts sabiedriskā labuma organizācijas statuss, ar grozījumu spēkā stāšanās dienu tiek piešķirts otrās pakāpes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Caurskatāmības koeficients tiek publiskots katru gadu, sākot ar 2026. gadu par 2025.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Biedrību un nodibinājumu iesniegumus par pirmās pakāpes sabiedriskā labuma organizācijas statusa piešķiršanu, kas tiks saņemti periodā no 2024. gada 1. janvāra līdz 31. decembrim, komisija var izskatīt 6 mēnešu laikā no iesnieguma saņemšanas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1.punkts. Aicinām skaidrot, kādēļ tiek piedāvāts tieši šāds modelis un vai modeļa izvēlē ir ņemts vērā pašu sabiedriskā labuma organizāciju viedoklis, tās  izlases veidā aptaujājot.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arī citi varianti. Piemēram, ļaujot katrai organizācijai pašai izvēlēties sabiedriskā labuma organizācijas pakāpi, piemēram, 3 vai 6 mēnešu laikā no likuma spēkā stāšanās  vai  nosakot, ka ar likuma spēkā stāšanos, piemēram, visas organizācijas ir pirmās pakāpes organizācijas un tad VID vērtē vai ir izpildīti kritēriji un nākamajā gadā 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uzsveram, ka šeit būtisks pašu organizāciju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anotācijai "1.2.Mērķis.Mērķa apraksts" "likumprojekts ir izstrādāts, lai normatīvajā regulējumā iekļautu tiesību normas, kas atbilst Ministru kabineta 2022.gada 29.novembrī apstiprinātā informatīvā ziņojuma  "Par sabiedriskā  labuma organizāciju darbību un attīstību" konceptam. Daļa likumprojekta normu atbilst iepriekšminētajam konceptam.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ietver virkni konceptuālu jauninājumu, tādējādi ļoti  ievērojami paplašinot attiecīgā informatīvā ziņojuma konceptu. Daļa no jauninājumiem ir neviennozīmīgi  vai pat kritiski  vērtējami un par tiem virkne ministriju, institūciju ir izteikušas iebildes.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tik ievērojami tiek paplašināts sākotnējais koncepts, tādējādi virzot arī konceptuālus jauninājumus, kas nav vispār izdiskutēti informatīvā ziņojuma tapšanas gaitā.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24.10.2023.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24.10.2023.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Atzinumi_22-TA-3618.docx</dc:title>
</cp:coreProperties>
</file>

<file path=docProps/custom.xml><?xml version="1.0" encoding="utf-8"?>
<Properties xmlns="http://schemas.openxmlformats.org/officeDocument/2006/custom-properties" xmlns:vt="http://schemas.openxmlformats.org/officeDocument/2006/docPropsVTypes"/>
</file>