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stratēģijas izstrādi Ukrainas civiliedzīvotāju integrācijai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 </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         </w:t>
            </w:r>
            <w:r>
              <w:tab/>
            </w:r>
            <w:r>
              <w:br/>
            </w:r>
            <w:r w:rsidR="00000000" w:rsidRPr="00000000" w:rsidDel="00000000">
              <w:rPr>
                <w:rtl w:val="0"/>
              </w:rPr>
              <w:t xml:space="preserve">Ministrija informē, ka no 2026. gada 22.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 Pildot informatīvā ziņojuma projektā un lēmumprojektā noteiktos uzdevumus, ministrija apzinās nepieciešamību veidot un sadarbībā ar Sabiedrības integrācijas fondu koordinēt starpsektorālu un kompleksu stratēģiju Ukrainas civiliedzīvotāju integrācijai Latvijā, tostarp iesaistot ne tikai valsta pārvaldes iestādes, bet arī pašvaldības un nevalstiskās organizācijas.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saglabā savu iebildumu vēstules projekta teikuma redakcijai: "Vienlaikus ministrija ir sagatavojusi informatīvā ziņojuma projektu par UAC iekļaušanās Latvijā stratēģijas koordinācijas pārņemšanu, kas tuvākajā laikā tiks virzīts starpinstitūciju saskaņošanai vienotajā tiesību aktu portālā (TAP)." Minētais teikums rada nepamatotu priekšstatu, ka līdz šim par "Ukrainas civiliedzīvotāju iekļaušanās Latvijā stratēģijas koordināciju" bijusi atbildīga kāda cita valsts pārvaldes iestāde. Norādām, ka Iekšlietu ministrijas izstrādātais ikgadējais pasākumu plāns Ukrainas civiliedzīvotāju atbalstam nav uzskatāms par "iekļaušanās stratēģiju" un Iekšlietu ministrija nav bijusi atbildīga ne par šādas stratēģijas izstrādi, ne koordināciju. Aicinām vēstulē izmantot formulējumu un terminoloģiju, kāda lietota KM sagatavotajā Informatīvajā ziņojumā “Ukrainas civiliedzīvotāju iekļaušanās Latvijas sabiedrībā politikas un koordinācijas pilnveide” (26-TA-665), kā arī vēstules projektā atspoguļot aktuālo minētā informatīvā ziņojuma virzības stadiju. Tāpat norādām, ka izziņā minēts, ka Iekšlietu ministrijas iebildums ir ņemts vērā, taču nekādas izmaiņas precizētajā vēstules projektā minētajā teikumā nav veiktas.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09.04.2026.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09.04.2026.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Atzinumi_25-TA-3046.docx</dc:title>
</cp:coreProperties>
</file>

<file path=docProps/custom.xml><?xml version="1.0" encoding="utf-8"?>
<Properties xmlns="http://schemas.openxmlformats.org/officeDocument/2006/custom-properties" xmlns:vt="http://schemas.openxmlformats.org/officeDocument/2006/docPropsVTypes"/>
</file>