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16.1.4. darba vietas aprīkojuma iegādes vai nomas, tai skaitā aprīkojuma uzturēšanas un remonta izmaksas jaunu darba vietu radīšanai vai esošo darba vietu atjaunošanai, ne vairāk kā 3 000 </w:t>
            </w:r>
            <w:r w:rsidR="00000000" w:rsidRPr="00000000" w:rsidDel="00000000">
              <w:rPr>
                <w:i w:val="1"/>
                <w:rtl w:val="0"/>
              </w:rPr>
              <w:t xml:space="preserve">euro</w:t>
            </w:r>
            <w:r w:rsidR="00000000" w:rsidRPr="00000000" w:rsidDel="00000000">
              <w:rPr>
                <w:rtl w:val="0"/>
              </w:rPr>
              <w:t xml:space="preserve"> apmērā vienai darba vietai projekta īstenošanas laikā. Ja personāls ir nodarbināts normālu darba laiku, darba vietas aprīkojuma izmaksas ir attiecināmas 100 procentu apmērā. Ja personāls ir nodarbināts nepilnu darba laiku vai personāla atlīdzībai piemēro daļlaika izmaksu attiecināmības principu, darba vietas aprīkojuma izmaksas ir attiecināmas proporcionāli slodzes procentuālajam sadalījumam un nodarbinātā iesaistes periodam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projekta 16.1.4. apakšpunkta pēdējā teikuma redakciju, ņemot vērā, ka nosacījums par nodarbinātā iesaistes periodu projektā attiecas tikai uz daļlaiku.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visām izmaksām, kas nepieciešamas, lai sasniegtu OPERATIONAL ARRANGEMENTS noteiktos atskaites punktus un mērķus, jābūt iekļautām Eiropas Savienības Atveseļošanas un noturības mehānisma (turpmāk – AF) plāna izmaksās/aprēķinos, kas tika apstiprināti no Eiropas  komisijas (turpmāk - EK) puses. Atbilstoši EK sniegtajai informācijai, budžeta iestāžu esošo darbinieku tekošās atalgojuma izmaksas nav finansējamas no AF plāna finansējuma, jo AF plāna finansējums nav paredzēts iestādes ikdienas funkciju izmaksu segšanai.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AF plāna ietvaros tiek īstenots projekts/reforma, kura īstenošana nav tieši saistīta ar iestādes ikdienas procesiem un funkcijām, šīs funkcijas ir nodalāmas, kā arī darbiniekam AF plāna finansēta projekta/reformas ietvaros nāksies veikt pienākumus, kas nav viņa ikdienas pienākumu ietvaros, iestāde var vērtēt projekta/reformas vadības un īstenošanas personāla atalgojuma izmaksas segt no AF plāna līdzekļiem, </w:t>
            </w:r>
            <w:r w:rsidR="00000000" w:rsidRPr="00000000" w:rsidDel="00000000">
              <w:rPr>
                <w:b w:val="1"/>
                <w:rtl w:val="0"/>
              </w:rPr>
              <w:t xml:space="preserve">vienlaikus nodrošinot paredzēto mērķu un atskaites punktu atbilstošu sasniegšanu noteiktajā apmērā</w:t>
            </w:r>
            <w:r w:rsidR="00000000" w:rsidRPr="00000000" w:rsidDel="00000000">
              <w:rPr>
                <w:rtl w:val="0"/>
              </w:rPr>
              <w:t xml:space="preserve">. Nodarbinātības formu un veidu iestāde organizē atbilstoši iestādes ierastajai kārtībai un Darba likumam. Kā arī atgādinām, ka specifiski attiecināmības jautājumi individuāli ir jāskaņo ar EK. Ņemot vērā sniegto skaidrojumu, kā arī dažādos reformu/investīciju ieviešanas modeļus un to dažādo specifiku, lūdzam ministrijai izvērtēt sniegto skaidrojumu un piemērot atbilstošāko no risinājumiem.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apakšsadaļā "</w:t>
            </w:r>
            <w:r w:rsidR="00000000" w:rsidRPr="00000000" w:rsidDel="00000000">
              <w:rPr>
                <w:i w:val="1"/>
                <w:rtl w:val="0"/>
              </w:rPr>
              <w:t xml:space="preserve">Likmes aprēķinu pamato šādi normatīvie akti un informācijas avoti:</w:t>
            </w:r>
            <w:r w:rsidR="00000000" w:rsidRPr="00000000" w:rsidDel="00000000">
              <w:rPr>
                <w:rtl w:val="0"/>
              </w:rPr>
              <w:t xml:space="preserve">" precizēt, projekta koordinatora amata apakšsaimi, ņemot vērā, ka 39.2. apakšsaimē ietilpst ES fondu vadībā iesaistīto atbildīgo iestāžu, sadarbības iestādes, vadošās iestādes, revīzijas iestādes un sertifikācijas iestādes amati. Amati, kuru pamatfunkcija ir projektu vadīšana un projekta aktivitāšu īstenošana, klasificējami 39.1. apakšsaimē.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Parlamenta un Padomes 2021. gada 24. jūnija Regula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neattiecas uz Atveseļošanas fondu (turpmāk- AF), bet, ņemot vērā AF plānā minēto, ka ieviešanā tiek piemēroti ES struktūrfondu un Kohēzijas fondu principi, tad aicinām tehniski precizēt informāciju anotācijas 1.3. sadaļā Risinājuma apraksts, ka attiecībā uz vienkāršotajām izmaksām investīcijas īstenošanā tiks piemēroti Regulas 55. panta 1. punktā noteiktie nosacījumi par vienoto likmi 20 % apmērā.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22-TA-3562</w:t>
    </w:r>
    <w:r>
      <w:br/>
    </w:r>
    <w:r w:rsidR="00000000" w:rsidRPr="00000000" w:rsidDel="00000000">
      <w:rPr>
        <w:rtl w:val="0"/>
      </w:rPr>
      <w:t xml:space="preserve">Izdrukāts 16.05.2023. 11.46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22-TA-3562</w:t>
    </w:r>
    <w:r>
      <w:br/>
    </w:r>
    <w:r w:rsidR="00000000" w:rsidRPr="00000000" w:rsidDel="00000000">
      <w:rPr>
        <w:rtl w:val="0"/>
      </w:rPr>
      <w:t xml:space="preserve">Izdrukāts 16.05.2023. 11.46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Atzinumi_22-TA-3562.docx</dc:title>
</cp:coreProperties>
</file>

<file path=docProps/custom.xml><?xml version="1.0" encoding="utf-8"?>
<Properties xmlns="http://schemas.openxmlformats.org/officeDocument/2006/custom-properties" xmlns:vt="http://schemas.openxmlformats.org/officeDocument/2006/docPropsVTypes"/>
</file>