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garantiju atbalsta piešķiršanas nosacījumus, finansēšanas kārtību un valsts atbalsta nosacījumus sīkajiem (mikro), mazajiem, vidējiem, mazajiem vidējās kapitalizācijas un vidējās kapitalizācijas saimnieciskās darbības veicējiem – juridiskām personām (turpmāk – saimnieciskās darbības veicēji) – ierobežotas portfeļgarantijas veidā, kā arī Covid-19 izraisītās krīzes portfeļgarantijas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punktu, nodrošinot atbilstību Ministru kabineta 2009. gada 3. februāra noteikumu Nr. 108 "Normatīvo aktu projektu sagatavošanas noteikumi" 100.2. apakšpunktam. Norādām, ka attiecīgais pilnvarojums paredz Ministru kabinetam noteikt konkrēto portfeļgarantijas programmu īstenošanas kārtību, pieejamo finansējumu, atbalstāmo darbību un izmaksu attiecināmības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Garantiju sniedz kā </w:t>
            </w:r>
            <w:r w:rsidR="00000000" w:rsidRPr="00000000" w:rsidDel="00000000">
              <w:rPr>
                <w:i w:val="1"/>
                <w:rtl w:val="0"/>
              </w:rPr>
              <w:t xml:space="preserve">de minimis</w:t>
            </w:r>
            <w:r w:rsidR="00000000" w:rsidRPr="00000000" w:rsidDel="00000000">
              <w:rPr>
                <w:rtl w:val="0"/>
              </w:rPr>
              <w:t xml:space="preserve"> atbalstu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vai Komisijas Regula 2013.gada 18.decembra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Komisijas regula Nr. 1408/2013) vai kā garantiju, kas šo noteikumu ietvaros tiek piešķirts vienīgi militārajiem investīciju projektiem, kas saņēmuši Aizsardzības ministrijas atzinumu,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 attiecīgās normas neizriet, kas nav kvalificējams kā komercdarbības atbalsts, aicinām to precizēt, nodrošinot pārskatāmu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Garantiju sniedz kā de minimis atbalstu saskaņā ar Komisijas 2023. gada 13. decembra Regulu (ES) Nr. 2023/2831 par Līguma par Eiropas Savienības darbību 107. un 108. panta piemērošanu de minimis atbalstam (turpmāk – Komisijas regula Nr. 2023/2831) vai Komisijas Regula 2013.gada 18.decembra Regulu (ES) Nr. 1408/2013 par Līguma par Eiropas Savienības darbību 107. un 108. panta piemērošanu de minimis atbalstam lauksaimniecības nozarē (turpmāk – Komisijas regula Nr. 1408/2013) vai kā garantiju, kas šo noteikumu ietvaros tiek piešķirts vienīgi militārajiem investīciju projektiem, kas saņēmuši Aizsardzības ministrijas atzinumu, un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Lai nodrošinātu šo noteikumu </w:t>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punktā minētā atzinuma sniegšanu, Aizsardzības ministrija, sabiedrība "Altum" un Ekonomikas ministrija slēdz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skaidrot slēdzamās vienošanās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 garantijas tiek sniegtas vienīgi militārajiem investīciju projektiem, ja komersants iesniedz sabiedrībai "Altum" Aizsardzības ministrijas atzinumu par komersanta investīciju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skaidrot, kas ir būtiskas drošības intereses vai alternatīvi lūdzam svītrot norādi uz būtiskumu, kas ir subjektīva un varētu būt apgrūtinoši piemērojama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ir pārkāpti Komisijas regulas Nr. </w:t>
            </w:r>
            <w:r w:rsidR="00000000" w:rsidRPr="00000000" w:rsidDel="00000000">
              <w:rPr>
                <w:rtl w:val="0"/>
              </w:rPr>
              <w:t xml:space="preserve">2023/2831</w:t>
            </w:r>
            <w:r w:rsidR="00000000" w:rsidRPr="00000000" w:rsidDel="00000000">
              <w:rPr>
                <w:rtl w:val="0"/>
              </w:rPr>
              <w:t xml:space="preserve"> vai Komisijas regulas Nr. 1408/2013 nosacījumi, atbalsta saņēmējam ir pienākums atmaksāt finansētājam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 savukārt finansētājam ir pienākums, atbilstoši sadarbības līgumā noteiktajam, atgūto atbalsta summu kopā ar procentiem pārskaitīt atbalsta sniedzējam – sabiedrībai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sadarbības līgumu, kā arī precizēt noteikumu projekta anotācijā lietoto terminoloģiju, jo cituviet noteikumu projektā nav uz šādu līgumu norādīts un attiecīgi nav skaidrs, vai ar to domāts civiltiesiskais līgums, kas noslēgts starp sabiedrību "Altum" un finansētāju  un minēts grozīto Ministru kabineta noteikumu 7. punktā. Ja tas ir 7. punktā minētais līgums, aicinām nepieciešamības gadījumā papildināt 7. punktu attiecībā uz līguma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ir pārkāpti Komisijas regulas Nr. </w:t>
            </w:r>
            <w:r w:rsidR="00000000" w:rsidRPr="00000000" w:rsidDel="00000000">
              <w:rPr>
                <w:rtl w:val="0"/>
              </w:rPr>
              <w:t xml:space="preserve">2023/2831</w:t>
            </w:r>
            <w:r w:rsidR="00000000" w:rsidRPr="00000000" w:rsidDel="00000000">
              <w:rPr>
                <w:rtl w:val="0"/>
              </w:rPr>
              <w:t xml:space="preserve"> vai Komisijas regulas Nr. 1408/2013 nosacījumi, atbalsta saņēmējam ir pienākums atmaksāt finansētājam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 savukārt finansētājam ir pienākums, atbilstoši sadarbības līgumā noteiktajam, atgūto atbalsta summu kopā ar procentiem pārskaitīt atbalsta sniedzējam – sabiedrībai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precīzi norādīt, kuras konkrēti finansētāja darbības izpaužas kā valsts atbalsta piešķiršana atbalsta saņēmējam. Ja atbilstošu skaidrojumu nav iespējams sniegt, lūdzam precizēt un norādīt, ka atbalstu atmaksā sabiedrībai "Altum" vai skaidrot pamatojumu tam, kādēļ atbalsta saņēmējam ir pienākums atbalstu atmaksāt finansētājam. Norādām, ka garantiju saskaņā ar noteikumu projektu piešķir sabiedrība "Altum" (kas noteikumu projektā arī norādīts kā atbalsta sniedzējs), kam arī jāiesniedz pieteikums atbalsta saņemšanai, attiecīgi arī atgūt atbalstu var tieši minētā 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17.09.2025. 19.45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17.09.2025. 19.45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Atzinumi_25-TA-782.docx</dc:title>
</cp:coreProperties>
</file>

<file path=docProps/custom.xml><?xml version="1.0" encoding="utf-8"?>
<Properties xmlns="http://schemas.openxmlformats.org/officeDocument/2006/custom-properties" xmlns:vt="http://schemas.openxmlformats.org/officeDocument/2006/docPropsVTypes"/>
</file>