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27.15. ūdensapgādes, sadzīves kanalizācijas un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punkta prasības, īsteno atbilstoši Eiropas Komisijas Lēmumā Nr. 2012/21/ES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projektā, ar kuru groza Ministru kabineta 2024. gada 19. novembra noteikumus Nr. 726 "Eiropas Savienības kohēzijas politikas programmas 2021.–2027. gadam 2.3.1. specifiskā atbalsta mērķa “Veicināt ilgtspējīgu daudzveidu mobilitāti pilsētās” 2.3.1.2. pasākuma “Multimodāls sabiedriskā transporta tīkls” īstenošanas noteikumi" (turpmāk – Noteikumi Nr. 726), ietvertas atsauces uz Eiropas Komisijas 2011. gada 20. decembra Lēmumu Nr. 2012/21/ES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skaidri paredz, ka tas ir adresēts dalībvalstīm. Attiecīgi Lēmuma normas var būt tieši saistošas tikai valsts institūcijām, nevis privātpersonām (t.sk. juridiskajām). Ja Lēmuma normas jāpiemēro arī privātpersonām, tās ir jāpārņem nacionālajos normatīvajos aktos līdzīgi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noteikts, ka noteiktas infrastruktūras izmaksas īstenojamas, ievērojot Lēmuma prasības, savukārt 19. punktā minēti finansējuma saņēmēji, tostarp pašvaldību kapitālsabiedrības – juridiskas personas. Tādējādi Lēmuma prasības tiek faktiski attiecinātas uz privātpersonām, nepārņemot tās nacionālajā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20. un 22. punktā svītrot atsauci uz Lēmumu un attiecīgās Lēmuma normas, kuras nepieciešams padarīt saistošas juridiskajām personām, pārņemt (iestrādāt) noteikumu projektā līdzīgi kā Eiropas Savienības direktīvu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17.06.2025.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17.06.2025.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