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(4.2.4.2 pasākuma "Atbalsts pieaugušo individuālajās vajadzībās balstītai pieaugušo izglītībai” izmaksu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apsriedes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uzskata, ka šis tiesību akta projekts ir virzāms saskaņošanai tikai pēc tam, kad būs apstiprināts pašlaik starpinstitūciju saskaņošanā esošais rīcības plāns “Cilvēkkapitāla attīstības stratēģija 2024.-2027.gadam” (24-TA-273) (turpmāk – Stratēģijas projekts), jo šis tiesību aktu projekts ir viens no instrumentiem, lai ieviestu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Stratēģijas projektu Valsts kontrole ir izteikusi iebildumu, jo tas neietver darbības, lai pēc būtības risinātu Valsts kontroles lietderības revīzijā Nr.2.4.1–28/2022 “Vai pieaugušo izglītība sasniedz tai izvirzītos mērķus un atbilst darba tirgus vajadzībām?” konstatētās problēmas pieaugušo izglītības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tostarp iebilst, ka saskaņā ar Stratēģijas projektu Eiropas Savienības fondu 2021.-2027. gada plānošanas periodā pieaugušo mācības turpinās plānot un nodrošināt gan Nodarbinātības valsts aģentūra (NVA), gan Valsts izglītības attīstības aģentūra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arvien uztur revīzijā konstatēto, ka NVA un VIAA pieaugušo mācību plānošanā un īstenošanā veic vienas un tās pašas funkcijas un nav objektīvu šķēršļu šīs funkcijas nodrošināt vienai iestādei, tā novēršot jau tā pieaugušo izglītībai ierobežoto līdzekļu neproduktīvu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uzmanību, ka ar jauno projektu VIAA funkcijas vēl vairāk dublēsies ar NVA: VIAA jaunajā projektā plāno paplašināt karjeras atbalstu un iestādē nodarbināt arī vairākus karjeras konsultantus, lai gan, tāpat kā iepriekšējā plānošanas periodā, karjeras konsultācijas VIAA projektā turpinās nodrošināt arī NVA, kurai tā ir funkcija saskaņā ar Bezdarbnieku un darba meklētāju atbalsta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Pīpiķe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12.03.2024.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12.03.2024.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