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norādīts, ka "nav veikta nodevu par atkritumu apsaimniekošanas atļaujas pārskatīšanu kopš 2011. gada. Esošie nodevu apmēri nav samērojami ar šī brīža dokumentācijas sagatavošanas izmaksām. Ievērojot minēto, ir nepieciešams pārskatīt valsts nodevu apmēru par atkritumu apsaimniekošanas atļauju izsniegšanu, grozīšanu", savukārt sadaļas "Risinājuma apraksts" 15. un 17. punktā valsts nodevas apmēra paaugstināšana tiek pamatota ar aprēķiniem par eksperta darba izmaksām, t.i., veicot kāda darbinieka patērētā laika mērijumus ar hronometru un secinot, ka šī eksperta vienas stundas darba kopējās izmaksas ir 13,45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nodokļiem un nodevām" 1. panta 2. punktā noteiktajam valsts nodeva ir obligāts maksājums valsts budžetā vai šajā likumā noteiktajos gadījumos pašvaldības budžetā par valsts vai pašvaldības institūcijas veicamo darbību, kas izriet no šīs institūcijas funkcijām. Valsts nodevas mērķis ir personu darbību regulēšana (kontrolēšana, veicināšana,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apmēra paaugstināšana nevar būt tiešā veidā saistāma ar Valsts vides dienesta darbības finansēšanu un tā darbinieku (ekspertu) patērētā laika, kas veltīts dokumentu sagatavošanai, izmaksām, tādēļ aicinām precizēt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71.punktā norādīts, ka FM priekšlikums ir ņemts vērā, taču, izskatot precizēto anotāciju ir secināms, ka nav veikti precizējumi, attiecīgi atkārtoti lūdzam precizēt anotācijas 1.3.sadaļā atsauci tagadējā 22.punktā no  “37.16” uz “37.</w:t>
            </w:r>
            <w:r w:rsidR="00000000" w:rsidRPr="00000000" w:rsidDel="00000000">
              <w:rPr>
                <w:vertAlign w:val="superscript"/>
                <w:rtl w:val="0"/>
              </w:rPr>
              <w:t xml:space="preserve">1</w:t>
            </w:r>
            <w:r w:rsidR="00000000" w:rsidRPr="00000000" w:rsidDel="00000000">
              <w:rPr>
                <w:rtl w:val="0"/>
              </w:rPr>
              <w:t xml:space="preserve">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pielikumā “ieņēmumu aprēķins par MKN Nr.703” precizēt norādītās ieņēmumu apmēra izmaiņas, lai tās būtu korektas un saskaņā ar anotācijas 3.sadaļā norādīto informāciju, proti, ja atbilstoši aprēķinam prognozētie ieņēmumi valsts budžetā pēc nodevu apjoma izmaiņām gadā plānoti 50 840 euro, tad ievērojot šobrīd spēkā esošo nodevas ieņēmumu plānu 25 434 euro apmērā, ieņēmumu izmaiņas būs 25 406 euro nevis 127 142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22.10.2024.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22.10.2024.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