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6D6" w:rsidRDefault="008E16D6" w:rsidP="008E16D6">
      <w:r>
        <w:t xml:space="preserve">Beāte Gusārova </w:t>
      </w:r>
      <w:hyperlink r:id="rId6" w:history="1">
        <w:r>
          <w:rPr>
            <w:rStyle w:val="Hyperlink"/>
          </w:rPr>
          <w:t>Beate.Gusarova@tm.gov.lv</w:t>
        </w:r>
      </w:hyperlink>
    </w:p>
    <w:p w:rsidR="008E16D6" w:rsidRDefault="008E16D6" w:rsidP="008E16D6">
      <w:r>
        <w:t xml:space="preserve">Aivis Hammers </w:t>
      </w:r>
      <w:hyperlink r:id="rId7" w:history="1">
        <w:r>
          <w:rPr>
            <w:rStyle w:val="Hyperlink"/>
          </w:rPr>
          <w:t>aivis.hammers@fm.gov.lv</w:t>
        </w:r>
      </w:hyperlink>
      <w:r>
        <w:t xml:space="preserve"> TM KANCELEJA </w:t>
      </w:r>
      <w:hyperlink r:id="rId8" w:history="1">
        <w:r>
          <w:rPr>
            <w:rStyle w:val="Hyperlink"/>
          </w:rPr>
          <w:t>pasts@tm.gov.lv</w:t>
        </w:r>
      </w:hyperlink>
      <w:r>
        <w:t xml:space="preserve"> Pasts </w:t>
      </w:r>
      <w:hyperlink r:id="rId9" w:history="1">
        <w:r>
          <w:rPr>
            <w:rStyle w:val="Hyperlink"/>
          </w:rPr>
          <w:t>Pasts@fm.gov.lv</w:t>
        </w:r>
      </w:hyperlink>
      <w:r>
        <w:t xml:space="preserve"> Baiba Lielkalne </w:t>
      </w:r>
      <w:hyperlink r:id="rId10" w:history="1">
        <w:r>
          <w:rPr>
            <w:rStyle w:val="Hyperlink"/>
          </w:rPr>
          <w:t>Baiba.Lielkalne@TM.GOV.LV</w:t>
        </w:r>
      </w:hyperlink>
      <w:r>
        <w:t xml:space="preserve"> </w:t>
      </w:r>
      <w:r w:rsidRPr="008E16D6">
        <w:t xml:space="preserve">Egita Šķibele </w:t>
      </w:r>
      <w:hyperlink r:id="rId11" w:history="1">
        <w:r w:rsidRPr="00695B0C">
          <w:rPr>
            <w:rStyle w:val="Hyperlink"/>
          </w:rPr>
          <w:t>egita.skibele@fm.gov.lv</w:t>
        </w:r>
      </w:hyperlink>
      <w:r>
        <w:t xml:space="preserve"> </w:t>
      </w:r>
      <w:r w:rsidRPr="008E16D6">
        <w:t xml:space="preserve">Linda Strazdiņa </w:t>
      </w:r>
      <w:hyperlink r:id="rId12" w:history="1">
        <w:r w:rsidRPr="00695B0C">
          <w:rPr>
            <w:rStyle w:val="Hyperlink"/>
          </w:rPr>
          <w:t>Linda.Strazdina@tm.gov.lv</w:t>
        </w:r>
      </w:hyperlink>
      <w:r>
        <w:t xml:space="preserve">  </w:t>
      </w:r>
      <w:r w:rsidRPr="008E16D6">
        <w:t xml:space="preserve">Kintija Bajāre-Grīnberga </w:t>
      </w:r>
      <w:hyperlink r:id="rId13" w:history="1">
        <w:r w:rsidRPr="00695B0C">
          <w:rPr>
            <w:rStyle w:val="Hyperlink"/>
          </w:rPr>
          <w:t>Kintija.Bajare-Grinberga@tm.gov.lv</w:t>
        </w:r>
      </w:hyperlink>
      <w:r>
        <w:t xml:space="preserve"> </w:t>
      </w:r>
    </w:p>
    <w:p w:rsidR="00AF50C1" w:rsidRDefault="008E16D6" w:rsidP="008E16D6">
      <w:r>
        <w:t>Atb.: "Ieguldījumu brokeru sabiedrību likums" likumprojektu pakete</w:t>
      </w:r>
    </w:p>
    <w:p w:rsidR="008E16D6" w:rsidRDefault="008E16D6" w:rsidP="008E16D6"/>
    <w:p w:rsidR="008E16D6" w:rsidRDefault="008E16D6" w:rsidP="008E16D6">
      <w:pPr>
        <w:rPr>
          <w:rFonts w:ascii="Times New Roman" w:hAnsi="Times New Roman" w:cs="Times New Roman"/>
        </w:rPr>
      </w:pPr>
      <w:r>
        <w:rPr>
          <w:rFonts w:ascii="Times New Roman" w:hAnsi="Times New Roman" w:cs="Times New Roman"/>
        </w:rPr>
        <w:t xml:space="preserve">Labdien, </w:t>
      </w:r>
    </w:p>
    <w:p w:rsidR="008E16D6" w:rsidRDefault="008E16D6" w:rsidP="008E16D6">
      <w:pPr>
        <w:rPr>
          <w:rFonts w:ascii="Times New Roman" w:hAnsi="Times New Roman" w:cs="Times New Roman"/>
        </w:rPr>
      </w:pP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Tieslietu ministrija ir izskatījusi Finanšu ministrijas 2021. gada 27. aprīlī precizēto likumprojektu "Ieguldījumu brokeru sabiedrību likums" (turpmāk - likumprojekts), tā anotāciju un izziņu par atzinumos sniegtajiem iebildumiem un </w:t>
      </w:r>
      <w:r>
        <w:rPr>
          <w:rFonts w:ascii="Times New Roman" w:hAnsi="Times New Roman" w:cs="Times New Roman"/>
          <w:b/>
          <w:bCs/>
        </w:rPr>
        <w:t>atbalsta to tālāku virzību, izsakot šādus iebildumus</w:t>
      </w:r>
      <w:r>
        <w:rPr>
          <w:rFonts w:ascii="Times New Roman" w:hAnsi="Times New Roman" w:cs="Times New Roman"/>
        </w:rPr>
        <w:t>:</w:t>
      </w:r>
    </w:p>
    <w:p w:rsidR="008E16D6" w:rsidRDefault="008E16D6" w:rsidP="008E16D6">
      <w:pPr>
        <w:ind w:firstLine="567"/>
        <w:jc w:val="both"/>
        <w:rPr>
          <w:rFonts w:ascii="Times New Roman" w:hAnsi="Times New Roman" w:cs="Times New Roman"/>
        </w:rPr>
      </w:pPr>
      <w:r>
        <w:rPr>
          <w:rFonts w:ascii="Times New Roman" w:hAnsi="Times New Roman" w:cs="Times New Roman"/>
        </w:rPr>
        <w:t>1. Tieslietu ministrija uztur iepriekš izteikto iebildumu par likumprojekta 8. panta trešajā daļā paredzēto ierobežojumu personai ieņemt amatu ieguldījumu brokeru sabiedrībā, ja tā ir sodīta par tīša noziedzīga nodarījuma izdarīšanu (neatkarīgi no sodāmības dzēšanas vai noņemšanas) un ja tā par tīša noziedzīga nodarījuma izdarīšanu ir tikusi notiesāta, atbrīvojot no soda vai pret kuru kriminālprocess izbeigts uz nereabilitējoša pamata. Norādām, ka ierobežojums, kas noteic aizliegumu ieņemt noteiktus amatus neierobežotu laiku arī pēc sodāmības dzēšanas vai noņemšanas ir uzskatāms par absolūtu,</w:t>
      </w:r>
      <w:r>
        <w:rPr>
          <w:rStyle w:val="Vresatsauce"/>
          <w:rFonts w:ascii="Times New Roman" w:hAnsi="Times New Roman" w:cs="Times New Roman"/>
        </w:rPr>
        <w:footnoteReference w:customMarkFollows="1" w:id="1"/>
        <w:t>[1]</w:t>
      </w:r>
      <w:r>
        <w:rPr>
          <w:rFonts w:ascii="Times New Roman" w:hAnsi="Times New Roman" w:cs="Times New Roman"/>
        </w:rPr>
        <w:t xml:space="preserve"> un tam nepieciešams analīzē balstīts izvērtējums,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Pr>
          <w:rStyle w:val="Vresatsauce"/>
          <w:rFonts w:ascii="Times New Roman" w:hAnsi="Times New Roman" w:cs="Times New Roman"/>
        </w:rPr>
        <w:footnoteReference w:customMarkFollows="1" w:id="2"/>
        <w:t>[2]</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Ņemot vērā minēto, lūdzam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1) ir sodīta par tīša noziedzīga nodarījuma izdarīšanu; </w:t>
      </w:r>
    </w:p>
    <w:p w:rsidR="008E16D6" w:rsidRDefault="008E16D6" w:rsidP="008E16D6">
      <w:pPr>
        <w:ind w:firstLine="567"/>
        <w:jc w:val="both"/>
        <w:rPr>
          <w:rFonts w:ascii="Times New Roman" w:hAnsi="Times New Roman" w:cs="Times New Roman"/>
        </w:rPr>
      </w:pPr>
      <w:r>
        <w:rPr>
          <w:rFonts w:ascii="Times New Roman" w:hAnsi="Times New Roman" w:cs="Times New Roman"/>
        </w:rPr>
        <w:t>2) par tīša noziedzīga nodarījuma izdarīšanu notiesāta, atbrīvojot no soda vai pret kuru kriminālprocess izbeigts uz nereabilitējoša pamata — kamēr nav pagājis gads pēc attiecīgā lēmuma stāšanās spēkā.”</w:t>
      </w:r>
    </w:p>
    <w:p w:rsidR="008E16D6" w:rsidRDefault="008E16D6" w:rsidP="008E16D6">
      <w:pPr>
        <w:ind w:firstLine="567"/>
        <w:jc w:val="both"/>
        <w:rPr>
          <w:rFonts w:ascii="Times New Roman" w:hAnsi="Times New Roman" w:cs="Times New Roman"/>
        </w:rPr>
      </w:pPr>
      <w:r>
        <w:rPr>
          <w:rFonts w:ascii="Times New Roman" w:hAnsi="Times New Roman" w:cs="Times New Roman"/>
        </w:rPr>
        <w:t>Tomēr gadījumā, ja likumprojektā ir plānots saglabāt absolūto aizliegumu ieņemt amatu, tad saskaņā ar Satversmes tiesas judikatūru</w:t>
      </w:r>
      <w:r>
        <w:rPr>
          <w:rStyle w:val="Vresatsauce"/>
          <w:rFonts w:ascii="Times New Roman" w:hAnsi="Times New Roman" w:cs="Times New Roman"/>
        </w:rPr>
        <w:footnoteReference w:customMarkFollows="1" w:id="3"/>
        <w:t>[3]</w:t>
      </w:r>
      <w:r>
        <w:rPr>
          <w:rFonts w:ascii="Times New Roman" w:hAnsi="Times New Roman" w:cs="Times New Roman"/>
        </w:rPr>
        <w:t xml:space="preserve">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w:t>
      </w:r>
      <w:r>
        <w:rPr>
          <w:rFonts w:ascii="Times New Roman" w:hAnsi="Times New Roman" w:cs="Times New Roman"/>
        </w:rPr>
        <w:lastRenderedPageBreak/>
        <w:t>pastāvēšanas.</w:t>
      </w:r>
      <w:r>
        <w:rPr>
          <w:rStyle w:val="Vresatsauce"/>
          <w:rFonts w:ascii="Times New Roman" w:hAnsi="Times New Roman" w:cs="Times New Roman"/>
        </w:rPr>
        <w:footnoteReference w:customMarkFollows="1" w:id="4"/>
        <w:t>[4]</w:t>
      </w:r>
      <w:r>
        <w:rPr>
          <w:rFonts w:ascii="Times New Roman" w:hAnsi="Times New Roman" w:cs="Times New Roman"/>
        </w:rPr>
        <w:t xml:space="preserve"> Šāda kārtība ļautu izdarīt pamatotu vērtējumu tam, vai ļaut vai neļaut konkrētai personai kandidēt uz amatu ieguldījumu brokeru sabiedrībā, kā arī ļautu pamattiesību ierobežojuma leģitīmo mērķi sasniegt vismaz tādā pašā kvalitātē.</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Tieslietu ministrijas ieskatā Finanšu ministrijas sniegtais skaidrojums, ka šobrīd </w:t>
      </w:r>
      <w:r>
        <w:rPr>
          <w:rFonts w:ascii="Times New Roman" w:hAnsi="Times New Roman" w:cs="Times New Roman"/>
          <w:spacing w:val="-2"/>
        </w:rPr>
        <w:t xml:space="preserve">finanšu nozari regulējošajos normatīvajos aktos regulējums attiecībā uz absolūto aizliegumu ieņemt valdes locekļa amatu ir vienveidīgs un konsekvents, tāpēc izvērtējums grozījumiem būtu jāveic kompleksi, nevar būt par pamatu iebilduma neņemšanai vērā. Norādām, ka likumprojekts ir jauns normatīvais akts, un tajā nebūtu pieļaujama tādu normu iekļaušana, kas neatbilst Satversmei, gluži pretēji – ar jauna normatīvā regulējuma izveidi ir iespējams uzsākt trūkumu novēršanu finanšu nozari regulējošajos normatīvajos aktos, uz kuriem norādījusi Satversmes tiesa. Attiecīgi aicinām precizēt likumprojektu atbilstoši iebildumā norādītajam. </w:t>
      </w:r>
    </w:p>
    <w:p w:rsidR="008E16D6" w:rsidRDefault="008E16D6" w:rsidP="008E16D6">
      <w:pPr>
        <w:ind w:firstLine="567"/>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2. Likumprojekta 8. pantā paredzēts pienākums atsaukt pirmajā daļā uzskaitītās personas no to amatiem, taču nav norādītas sekas tam, ja šo personu atsaukšana netiek īstenota. Lai gan Finanšu ministrija skaidro, ka </w:t>
      </w:r>
      <w:r>
        <w:rPr>
          <w:rFonts w:ascii="Times New Roman" w:hAnsi="Times New Roman" w:cs="Times New Roman"/>
          <w:lang w:eastAsia="lv-LV"/>
        </w:rPr>
        <w:t>Komisija ir pilntiesīga autonoma valsts iestāde, kas atbilstoši savam darbības mērķim un uzdevumiem regulē un pārrauga finanšu un kapitāla tirgu un tā dalībnieku darbību, kā to paredz Finanšu un kapitāla tirgus komisijas likuma 2. pants, un ir tiesīga pieprasīt novērst pārkāpumus, piemērot normatīvajos aktos noteiktās sankcijas finanšu un kapitāla tirgus dalībniekiem un to amatpersonām, ja šie akti tiek pārkāpti</w:t>
      </w:r>
      <w:r>
        <w:rPr>
          <w:rFonts w:ascii="Times New Roman" w:hAnsi="Times New Roman" w:cs="Times New Roman"/>
        </w:rPr>
        <w:t xml:space="preserve">, vēlamies norādīt, ka tiesību normām ir jābūt skaidrām un nepārprotamām, turklāt ar skaidri izrietošām sekām. </w:t>
      </w:r>
    </w:p>
    <w:p w:rsidR="008E16D6" w:rsidRDefault="008E16D6" w:rsidP="008E16D6">
      <w:pPr>
        <w:ind w:firstLine="567"/>
        <w:jc w:val="both"/>
        <w:rPr>
          <w:rFonts w:ascii="Times New Roman" w:hAnsi="Times New Roman" w:cs="Times New Roman"/>
        </w:rPr>
      </w:pPr>
      <w:r>
        <w:rPr>
          <w:rFonts w:ascii="Times New Roman" w:hAnsi="Times New Roman" w:cs="Times New Roman"/>
        </w:rPr>
        <w:t>Tādēļ lūdzam precizēt likumprojekta 8. pantu, paredzot sekas, kādas rodas, ja padomes un valdes locekļi, kas neatbilst pantā noteiktajām prasībām, netiek atsaukti, vai ievietojot atsauci uz normu, kura paredz šādas sekas.</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lang w:eastAsia="lv-LV"/>
        </w:rPr>
        <w:t xml:space="preserve">Tieslietu ministrijas ieskatā likumprojekta 9. panta redakcija nav skaidra un to nepieciešams precizēt, līdz ar to </w:t>
      </w:r>
      <w:r>
        <w:rPr>
          <w:rFonts w:ascii="Times New Roman" w:hAnsi="Times New Roman" w:cs="Times New Roman"/>
        </w:rPr>
        <w:t xml:space="preserve">uzturam iepriekš izteikto iebildumu par likumprojekta 9. pantu. Tieslietu ministrijas ieskatā attiecīgo normu nepieciešams precizēt, jau tās pirmajā daļā paredzot, ka ieguldījumu brokeru sabiedrības valdes un padomes loceklis vienlaikus var ieņemt vairākas valdes un padomes locekļu amatu vietas vairākās ieguldījumu brokeru sabiedrībās (vai vairākās sabiedrībās).  </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 Tāpat norādām, ka Finanšu ministrijas skaidrojumam neņemt vērā iebildumu, jo likumprojektam identisks regulējums ir iekļauts spēkā esošajā Finanšu instrumentu tirgus likumā, nevar piekrist, jo tiesību aktu projektu sagatavošanā ir jāņem vērā tiesību sistēmas mainīgums un tas, ka arī spēkā esošā regulējuma aktualitāti ir nepieciešams pārvērtēt, jo tas var būt novecojis. Sevišķi svarīgi to ņemt vērā, ja jauna tiesību akta izstrāde tiek balstīta uz jau spēkā esošu regulējumu, līdz ar to spēkā esošajam regulējumam, tā atbilstībai jāpieiet kritiski. </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4. Tieslietu ministrija uztur iebildumu par likumprojekta 10. panta ceturto daļu. Atkārtoti vēršam uzmanību, ka likumprojekta 10. panta ceturtā daļa, kas paredz Komisijas tiesības pieprasīt, lai ieguldījumu brokeru sabiedrība precizē iesniegtos dokumentus un informāciju, </w:t>
      </w:r>
      <w:r>
        <w:rPr>
          <w:rFonts w:ascii="Times New Roman" w:hAnsi="Times New Roman" w:cs="Times New Roman"/>
        </w:rPr>
        <w:lastRenderedPageBreak/>
        <w:t xml:space="preserve">dublē Administratīvā procesa likuma 59. pantā nostiprinātās iestādes tiesības iegūt informāciju no administratīvā procesa dalībniekiem. </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Ievērojot minēto, atbilstoši Ministru kabineta 2009. gada 3. februāra noteikumu Nr. 108 “Normatīvo aktu projektu sagatavošanas noteikumi” (turpmāk – noteikumi Nr. 108) 3.2. apakšpunktam lūdzam izslēgt likumprojekta 12. panta ceturto daļu. </w:t>
      </w:r>
    </w:p>
    <w:p w:rsidR="008E16D6" w:rsidRDefault="008E16D6" w:rsidP="008E16D6">
      <w:pPr>
        <w:ind w:firstLine="567"/>
        <w:jc w:val="both"/>
        <w:rPr>
          <w:rFonts w:ascii="Times New Roman" w:hAnsi="Times New Roman" w:cs="Times New Roman"/>
        </w:rPr>
      </w:pPr>
      <w:r>
        <w:rPr>
          <w:rFonts w:ascii="Times New Roman" w:hAnsi="Times New Roman" w:cs="Times New Roman"/>
        </w:rPr>
        <w:t>Papildus vēršam uzmanību, ka no direktīvām izrietošas prasības nav jādublē speciālajā nacionālajā regulējumā gadījumā, ja tās jau ir vispārīgi noregulētas nacionālajās tiesībās. Konkrētajā gadījumā anotācijas V sadaļā jānorāda, ka direktīvas prasības jau pēc būtības pārņemtas Administratīvā procesa likuma minētajās normās un papildus transponēšanas pasākumi nav nepieciešami.</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5. Vēršam uzmanību, ka izziņas 8. punktā ietvertais Tieslietu ministrijas iebildums, kurā lūgts izvērtēt lēmuma pieņemšanas termiņa skaitīšanu no brīža, kad persona iesniegusi visus dokumentus, nav ņemts vērā, tāpēc iebildums tiek uzturēts. Atkārtoti norādām, ka lēmuma pieņemšanas termiņa skaitīšana no brīža, kad persona 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 </w:t>
      </w:r>
    </w:p>
    <w:p w:rsidR="008E16D6" w:rsidRDefault="008E16D6" w:rsidP="008E16D6">
      <w:pPr>
        <w:ind w:firstLine="567"/>
        <w:jc w:val="both"/>
        <w:rPr>
          <w:rFonts w:ascii="Times New Roman" w:hAnsi="Times New Roman" w:cs="Times New Roman"/>
        </w:rPr>
      </w:pPr>
      <w:r>
        <w:rPr>
          <w:rFonts w:ascii="Times New Roman" w:hAnsi="Times New Roman" w:cs="Times New Roman"/>
        </w:rPr>
        <w:t>Papildus vēršam uzmanību, ka Administratīvā procesa likuma 59. panta pirmā daļa paredz, ka pēc administratīvās lietas ierosināšanas iestāde iegūst informāciju, kas saskaņā ar normatīvajiem aktiem ir nepieciešama, lai pieņemtu attiecīgo lēmumu. Proti, Administratīvā procesa likums paredz iestādes pienākumu iegūt lēmuma pieņemšanai nepieciešamo informāciju, kas tiek iegūta lēmuma pieņemšanas termiņa ietvaros. Savukārt, ja iestāde objektīvu apstākļu dēļ nevar ievērot lēmuma pieņemšanai noteikto viena mēneša termiņu, saskaņā ar Administratīvā procesa likuma 64. panta otrajā daļā noteikto ir iespējams pagarināt lēmuma pieņemšanas termiņu. Ja persona būs iesniegusi visu lēmuma pieņemšanai nepieciešamo informāciju, nav saprotams, kāpēc lēmuma pieņemšanai ir vajadzīgs viens mēnesis. Administratīvā procesa likuma 64. panta pirmajā daļā noteiktā viena mēneša termiņa ietvaros iestādei ir paredzēts gan izskatīt iesniegumu un iegūt tā izskatīšanai visu nepieciešamo informāciju, gan pieņemt lēmumu.  </w:t>
      </w:r>
    </w:p>
    <w:p w:rsidR="008E16D6" w:rsidRDefault="008E16D6" w:rsidP="008E16D6">
      <w:pPr>
        <w:pStyle w:val="NormalWeb"/>
        <w:spacing w:line="276" w:lineRule="auto"/>
        <w:ind w:right="13" w:firstLine="567"/>
        <w:jc w:val="both"/>
      </w:pPr>
      <w:r>
        <w:t>Ievērojot minēto, lūdzam atkārtoti izvērtēt šāda regulējuma samērīgumu, atbilstoši precizēt likumprojektā ietvertās normas, kā arī papildināt anotāciju ar attiecīgo izvērtējumu likumprojekta 12. panta pirmajai daļai, 14. panta trešajai daļai, 18. panta septītajai un astotajai daļai, 20. panta ceturtajai daļai, kā arī 65. panta piektajai daļai.</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6. Attiecībā uz likumprojekta 16. panta pirmās daļas 10. punktu Finanšu ministrija ir skaidrojusi, ka šī norma attiecas uz ieguldījumu brokeru sabiedrības akcionāriem ar būtisku līdzdalību un gadījumos, kad iestājies tiem piederošo akciju balsstiesību izmantošanas aizliegums, un tas ilgst vairāk nekā sešus mēnešus, tas nozīmē, ka ieguldījumu brokeru sabiedrība ir lemtnespējīga ilgstošu periodu. Lai gan Finanšu ministrija norāda, ka šāds regulējums ir spēkā esošs arī Finanšu instrumentu tirgus likumā un Kredītiestāžu likumā, Tieslietu ministrija uztur izteikto iebildumu. Tas, ka identisks regulējums ir paredzēts citos normatīvajos aktos, nevar būt par pamatu regulējuma, kurš negatīvi ietekmē ieguldījumu brokeru sabiedrības darbību, attaisnošanai. Norādām, ka akcionārs (dalībnieks) un </w:t>
      </w:r>
      <w:r>
        <w:rPr>
          <w:rFonts w:ascii="Times New Roman" w:hAnsi="Times New Roman" w:cs="Times New Roman"/>
        </w:rPr>
        <w:lastRenderedPageBreak/>
        <w:t>kapitālsabiedrība ir divi dažādi subjekti, un viena subjekta tiesību ierobežojums nedrīkst pakļaut riskam kapitālsabiedrības darbību. Šāda ierobežojuma ietekme uz kapitālsabiedrību būtu pieļaujama tikai gadījumos, kad akcionāra (dalībnieka) balsstiesības ir ierobežotas saistībā ar ieguldījumu brokeru sabiedrības darbību, bet, ja, piemēram, balsstiesību ierobežojuma pamatā ir civiltiesisks strīds starp akcionāriem (dalībniekiem), šādos gadījumos tādu negatīvu ietekmi kā sabiedrībai piešķirtās licences anulēšanu pieļaut nedrīkst.</w:t>
      </w:r>
    </w:p>
    <w:p w:rsidR="008E16D6" w:rsidRDefault="008E16D6" w:rsidP="008E16D6">
      <w:pPr>
        <w:ind w:firstLine="567"/>
        <w:jc w:val="both"/>
        <w:rPr>
          <w:rFonts w:ascii="Times New Roman" w:hAnsi="Times New Roman" w:cs="Times New Roman"/>
        </w:rPr>
      </w:pPr>
      <w:r>
        <w:rPr>
          <w:rFonts w:ascii="Times New Roman" w:hAnsi="Times New Roman" w:cs="Times New Roman"/>
        </w:rPr>
        <w:t>Lūdzam attiecīgi precizēt likumprojekta 16. panta pirmās daļas 10. punktu, lai novērstu gadījumus, kad arī, piemēram, civiltiesiska strīda dēļ daļā ierobežotas balsstiesības varētu būt par pamatu licences anulēšanai.</w:t>
      </w:r>
    </w:p>
    <w:p w:rsidR="008E16D6" w:rsidRDefault="008E16D6" w:rsidP="008E16D6">
      <w:pPr>
        <w:ind w:firstLine="567"/>
        <w:jc w:val="both"/>
        <w:rPr>
          <w:rFonts w:ascii="Times New Roman" w:hAnsi="Times New Roman" w:cs="Times New Roman"/>
        </w:rPr>
      </w:pPr>
    </w:p>
    <w:p w:rsidR="008E16D6" w:rsidRDefault="008E16D6" w:rsidP="008E16D6">
      <w:pPr>
        <w:pStyle w:val="NormalWeb"/>
        <w:spacing w:line="276" w:lineRule="auto"/>
        <w:ind w:right="13" w:firstLine="567"/>
        <w:jc w:val="both"/>
      </w:pPr>
      <w:r>
        <w:t xml:space="preserve">7. Izziņas 13. punktā ietvertais Tieslietu ministrijas iebildums par likumprojekta 18. pantu pēc būtības nav ņemts vērā, tāpēc tas tiek uzturēts. Atkārtoti vēršam uzmanību, ka saskaņā ar Administratīvā procesa likuma 70. panta pirmo daļu administratīvais akts stājas spēkā ar brīdi, kad tas </w:t>
      </w:r>
      <w:r>
        <w:rPr>
          <w:u w:val="single"/>
        </w:rPr>
        <w:t>paziņots adresātam</w:t>
      </w:r>
      <w:r>
        <w:t xml:space="preserve">, nevis adresāts par to ir informēts, vai administratīvais akts tam ir nosūtīts. Proti, likumprojekta 18. panta septītajā un astotajā daļā, attiecībā uz administratīvā akta adresātu (ieguldījumu brokeru sabiedrību) </w:t>
      </w:r>
      <w:r>
        <w:rPr>
          <w:u w:val="single"/>
        </w:rPr>
        <w:t>lēmums ir jāpaziņo</w:t>
      </w:r>
      <w:r>
        <w:t xml:space="preserve"> nevis par to rakstveidā jāinformē, savukārt attiecīgās dalībvalsts uzraudzības institūcijas par lēmumu var tikt informētas. Ievērojot minēto, lūdzam precizēt likumprojektu atbilstoši Administratīvā procesa likumā lietotajai terminoloģijai.</w:t>
      </w:r>
    </w:p>
    <w:p w:rsidR="008E16D6" w:rsidRDefault="008E16D6" w:rsidP="008E16D6">
      <w:pPr>
        <w:pStyle w:val="NoSpacing"/>
        <w:spacing w:line="276" w:lineRule="auto"/>
        <w:ind w:firstLine="567"/>
        <w:jc w:val="both"/>
        <w:rPr>
          <w:sz w:val="22"/>
          <w:szCs w:val="22"/>
        </w:rPr>
      </w:pPr>
      <w:r>
        <w:rPr>
          <w:sz w:val="22"/>
          <w:szCs w:val="22"/>
        </w:rPr>
        <w:t xml:space="preserve">Vienlaikus atkārtoti norādām, ka nav skaidrs, ar ko atšķiras likumprojekta 18. panta septītajā un astotajā daļā ietvertais Komisijas lēmums neatļaut ieguldījumu brokeru sabiedrībai uzsākt ieguldījumu pakalpojumu un ieguldījumu blakuspakalpojumu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papildināt anotāciju ar skaidrojumu vai atbilstoši precizēt likumprojektu. </w:t>
      </w:r>
    </w:p>
    <w:p w:rsidR="008E16D6" w:rsidRDefault="008E16D6" w:rsidP="008E16D6">
      <w:pPr>
        <w:pStyle w:val="NoSpacing"/>
        <w:spacing w:line="276" w:lineRule="auto"/>
        <w:ind w:firstLine="567"/>
        <w:jc w:val="both"/>
        <w:rPr>
          <w:sz w:val="22"/>
          <w:szCs w:val="22"/>
        </w:rPr>
      </w:pPr>
      <w:r>
        <w:rPr>
          <w:sz w:val="22"/>
          <w:szCs w:val="22"/>
        </w:rPr>
        <w:t>Tāpat atkārtoti vēršam uzmanību, ka nav skaidrs, kāpēc likumprojekta 18. panta vienpadsmitā daļa atkārtoti noteic viena mēneša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 vai sniegt skaidrojumu anotācijā.</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8. Norādām, ka Tieslietu ministrijas priekšlikums par likumprojekta 23. pantu izziņā iekļautajā skaidrojumā ņemts vērā, taču likumprojekta 23. panta 6. punktā aiz vārda “</w:t>
      </w:r>
      <w:r>
        <w:rPr>
          <w:rFonts w:ascii="Times New Roman" w:hAnsi="Times New Roman" w:cs="Times New Roman"/>
          <w:i/>
          <w:iCs/>
        </w:rPr>
        <w:t>ir</w:t>
      </w:r>
      <w:r>
        <w:rPr>
          <w:rFonts w:ascii="Times New Roman" w:hAnsi="Times New Roman" w:cs="Times New Roman"/>
        </w:rPr>
        <w:t>” iztrūkst vārds “</w:t>
      </w:r>
      <w:r>
        <w:rPr>
          <w:rFonts w:ascii="Times New Roman" w:hAnsi="Times New Roman" w:cs="Times New Roman"/>
          <w:i/>
          <w:iCs/>
        </w:rPr>
        <w:t>pārkāpusi</w:t>
      </w:r>
      <w:r>
        <w:rPr>
          <w:rFonts w:ascii="Times New Roman" w:hAnsi="Times New Roman" w:cs="Times New Roman"/>
        </w:rPr>
        <w:t>”. Lūdzam attiecīgi precizēt likumprojekta 23. panta 6. punktu.</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9. Likumprojekta 26. un 28. pantā noteikts, ka personai par lēmumu iepriekš rakstveidā jāpaziņo Komisijai, taču nav noteikts laika periods, kādā šāds paziņojums jāveic, atšķirībā no likumprojekta 17. un 18. panta, kuros termiņš ir norādīts. Finanšu ministrija ir skaidrojusi, no ka likumprojekta 17. un 18. panta normām izriet pienākums, tādēļ tajās noteikts termiņš, savukārt 26. un 28. panta normas saistītas ar brīvu izvēli. Ņemot vērā minēto, Tieslietu ministrijai nav skaidrs, kāpēc 26. un 28. panta nosaukumos ir iekļauts “Paziņošanas </w:t>
      </w:r>
      <w:r>
        <w:rPr>
          <w:rFonts w:ascii="Times New Roman" w:hAnsi="Times New Roman" w:cs="Times New Roman"/>
          <w:u w:val="single"/>
        </w:rPr>
        <w:lastRenderedPageBreak/>
        <w:t>pienākums</w:t>
      </w:r>
      <w:r>
        <w:rPr>
          <w:rFonts w:ascii="Times New Roman" w:hAnsi="Times New Roman" w:cs="Times New Roman"/>
        </w:rPr>
        <w:t xml:space="preserve">”, un kāpēc šīs normas nosaka, ka persona par savu lēmumu “iepriekš rakstveidā </w:t>
      </w:r>
      <w:r>
        <w:rPr>
          <w:rFonts w:ascii="Times New Roman" w:hAnsi="Times New Roman" w:cs="Times New Roman"/>
          <w:u w:val="single"/>
        </w:rPr>
        <w:t>paziņo</w:t>
      </w:r>
      <w:r>
        <w:rPr>
          <w:rFonts w:ascii="Times New Roman" w:hAnsi="Times New Roman" w:cs="Times New Roman"/>
        </w:rPr>
        <w:t xml:space="preserve"> Komisijai”, nevis “var paziņot”, kas rada iespaidu par normu pienākuma raksturu. </w:t>
      </w:r>
    </w:p>
    <w:p w:rsidR="008E16D6" w:rsidRDefault="008E16D6" w:rsidP="008E16D6">
      <w:pPr>
        <w:ind w:firstLine="567"/>
        <w:jc w:val="both"/>
        <w:rPr>
          <w:rFonts w:ascii="Times New Roman" w:hAnsi="Times New Roman" w:cs="Times New Roman"/>
        </w:rPr>
      </w:pPr>
      <w:r>
        <w:rPr>
          <w:rFonts w:ascii="Times New Roman" w:hAnsi="Times New Roman" w:cs="Times New Roman"/>
        </w:rPr>
        <w:t>Ievērojot minēto, lūdzam precizēt likumprojektu atbilstoši Finanšu ministrijas skaidrojumam vai papildināt likumprojektu, norādot termiņu, kādā personai jāsniedz Komisijai 26. un 28. pantā minētie paziņojumi.</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10. Tieslietu ministrija uztur iepriekš izteikto iebildumu par likumprojekta 30. panta otro daļu. Kā jau norādījām, pirmkārt, saskaņā ar Komerclikuma 217. un 286. pantu gan dalībnieku, gan akcionāru lēmumus par spēkā neesošiem var atzīt tikai tiesa, turklāt ievērojot Komerclikuma noteikumus un civilprocesuālo kārtību, un nav iespējama situācija, ka lēmums varētu zaudēt spēku bez prasības celšanas un tiesas nolēmuma. </w:t>
      </w:r>
    </w:p>
    <w:p w:rsidR="008E16D6" w:rsidRDefault="008E16D6" w:rsidP="008E16D6">
      <w:pPr>
        <w:ind w:firstLine="567"/>
        <w:jc w:val="both"/>
        <w:rPr>
          <w:rFonts w:ascii="Times New Roman" w:hAnsi="Times New Roman" w:cs="Times New Roman"/>
        </w:rPr>
      </w:pPr>
      <w:r>
        <w:rPr>
          <w:rFonts w:ascii="Times New Roman" w:hAnsi="Times New Roman" w:cs="Times New Roman"/>
        </w:rPr>
        <w:t>Otrkārt, atbilstoši Augstākās tiesas judikatūrai dalībnieku sapulces lēmuma atzīšanas par spēkā neesošu tiesiskās sekas ir tādas, ka tas uzskatāms par nekad nepastāvējušu, proti, jau no pieņemšanas brīža.</w:t>
      </w:r>
      <w:r>
        <w:rPr>
          <w:rStyle w:val="Vresatsauce"/>
          <w:rFonts w:ascii="Times New Roman" w:hAnsi="Times New Roman" w:cs="Times New Roman"/>
        </w:rPr>
        <w:footnoteReference w:customMarkFollows="1" w:id="5"/>
        <w:t>[5]</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Treškārt, prasību par lēmuma atzīšanu par spēkā neesošu var celt tikai konkrēti subjekti – valdes un padomes locekļi, dalībnieki, kā arī akcionāri atbilstoši Komerclikuma 287. panta nosacījumiem. Līdz ar to, lai dalībnieku (akcionāru) sapulces lēmumu atzītu par spēkā neesošu ir nepieciešama šo personu aktīva rīcība un, ja neviena no minētajam personām nevēršas tiesā, tad dalībnieku (akcionāru) sapulcē pieņemtie lēmumi paliek spēkā.</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Ceturtkārt, vēršam uzmanību, ka dalībnieku (akcionāru) sapulces lēmums ir saistošs kapitālsabiedrības valdei, un, ja uz minētā lēmuma pamata ir izdarāmi ieraksti komercreģistrā, tad atbilstoši Komerclikuma 16. pantam šādas ziņas un likumā noteiktie dokumenti iesniedzami Uzņēmumu reģistram 14 dienu laikā no attiecīgā lēmuma pieņemšanas dienas, ja Komerclikumā nav noteikts citādi. Līdz ar to, ja vien tiesa to nav atzinusi dalībnieku (akcionāru) sapulces lēmumu par spēkā neesošu, valdei ir pienākums pildīt lēmumā noteikto, tai skaitā reģistrēt attiecīgās izmaiņas komercreģistrā. </w:t>
      </w:r>
    </w:p>
    <w:p w:rsidR="008E16D6" w:rsidRDefault="008E16D6" w:rsidP="008E16D6">
      <w:pPr>
        <w:ind w:firstLine="567"/>
        <w:jc w:val="both"/>
        <w:rPr>
          <w:rFonts w:ascii="Times New Roman" w:hAnsi="Times New Roman" w:cs="Times New Roman"/>
        </w:rPr>
      </w:pPr>
      <w:r>
        <w:rPr>
          <w:rFonts w:ascii="Times New Roman" w:hAnsi="Times New Roman" w:cs="Times New Roman"/>
        </w:rPr>
        <w:t>Ņemot vērā izklāstīto, var secināt, ka Finanšu ministrijas izstrādātā likumprojekta 30. panta otrās daļas norma neatbilst Latvijas tiesību sistēmai, kas nozīmē arī to, ka Direktīvu nevar uzskatīt par korekti ieviestu, jo izstrādātais regulējums praksē nav pielietojams. Turklāt norādām, ka Eiropas Parlamenta un Padomes 2014. gada 15. maija Direktīva 2014/65/ES par finanšu instrumentu tirgiem ar ko groza Direktīvu 2002/92/ES un Direktīvu 2011/61/ES, uz kuru Finanšu ministrija atsaucas skaidrojumā, neparedz to, konkrēti kādā veidā jānodrošina balsojuma atzīšana par nederīgu vai tā anulēšana, gluži pretēji, tajā norādīts, ka atbilstošos pasākumus nosaka pašas dalībvalstis. Ievērojot minēto, lūdzam likumprojekta autoru precizēt likumprojekta 30. panta otro daļu tā, lai tā atbilstu Latvijas tiesību sistēmai.</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11. Saskaņā Tieslietu ministrijas iebildumu par likumprojekta 31. pantu, tiesiskās skaidrības nodrošināšanai lūdzam redakcionāli precizēt likumprojekta 31. panta pirmās daļas 8. punktu, papildinot to ar norādi, ka iekšējās kārtības noteikumi ir noteikumi, kurus izdevušas pašas ieguldījumu brokeru sabiedrības, pretējā gadījumā normā ietverto regulējumu var interpretēt kā Komisijas iekšējās kārtības noteikumus, kas būtu pretrunā Valsts pārvaldes iekārtas likuma 72. panta ceturtajai daļai.</w:t>
      </w:r>
    </w:p>
    <w:p w:rsidR="008E16D6" w:rsidRDefault="008E16D6" w:rsidP="008E16D6">
      <w:pPr>
        <w:ind w:firstLine="567"/>
        <w:jc w:val="both"/>
        <w:rPr>
          <w:rFonts w:ascii="Times New Roman" w:hAnsi="Times New Roman" w:cs="Times New Roman"/>
        </w:rPr>
      </w:pPr>
    </w:p>
    <w:p w:rsidR="008E16D6" w:rsidRDefault="008E16D6" w:rsidP="008E16D6">
      <w:pPr>
        <w:pStyle w:val="NoSpacing"/>
        <w:spacing w:line="276" w:lineRule="auto"/>
        <w:ind w:firstLine="567"/>
        <w:jc w:val="both"/>
        <w:rPr>
          <w:sz w:val="22"/>
          <w:szCs w:val="22"/>
        </w:rPr>
      </w:pPr>
      <w:r w:rsidRPr="008E16D6">
        <w:rPr>
          <w:sz w:val="22"/>
          <w:szCs w:val="22"/>
        </w:rPr>
        <w:lastRenderedPageBreak/>
        <w:t xml:space="preserve">12. </w:t>
      </w:r>
      <w:r>
        <w:rPr>
          <w:sz w:val="22"/>
          <w:szCs w:val="22"/>
        </w:rPr>
        <w:t xml:space="preserve">Tieslietu ministrija uztur iebildumu par likumprojekta 35. pantu, jo pēc būtības iebildums nav ņemts vērā. Vēršam uzmanību, ka Finanšu ministrijas kompetencē ir finanšu politikas veidošana, tāpēc tai būtu jāspēj noteikt gadījumus, kuros Komisijai piešķirt tiesības ierobežot ieguldījumu brokeru sabiedrību tiesības, lai konkretizētu ierobežojumam pieļaujamo termiņu. Vienlaikus vēršam uzmanību, ka Tieslietu ministrijas izteiktā iebilduma mērķis bija norādīt uz to, ka jānosaka iespējamais maksimālais termiņš, uz kādu Komisijai būtu tiesības noteikt attiecīgos ierobežojumus, lai ieguldījumu brokeru sabiedrībām būtu skaidrs tiesiskais regulējums, un tās varētu rēķināties ar savu darbību tiesiskajām sekām. </w:t>
      </w:r>
    </w:p>
    <w:p w:rsidR="008E16D6" w:rsidRDefault="008E16D6" w:rsidP="008E16D6">
      <w:pPr>
        <w:pStyle w:val="NoSpacing"/>
        <w:spacing w:line="276" w:lineRule="auto"/>
        <w:ind w:firstLine="567"/>
        <w:jc w:val="both"/>
        <w:rPr>
          <w:sz w:val="22"/>
          <w:szCs w:val="22"/>
        </w:rPr>
      </w:pPr>
      <w:r>
        <w:rPr>
          <w:sz w:val="22"/>
          <w:szCs w:val="22"/>
        </w:rPr>
        <w:t>Atkārtoti vēršam uzmanību, ka liegums personai sniegt pakalpojumu ir būtisks privātpersonas tiesību ierobežojums, tāpēc nav pieļaujams, ka tas tiek paredzēts bez termiņa. Vienlaikus, nosakot termiņu, lūdzam anotācijā ietver atbilstošu izvēlētā termiņa pamatojumu. Ievērojot minēto, lūdzam precizēt likumprojektu. </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bookmarkStart w:id="0" w:name="_Hlk71551954"/>
      <w:r>
        <w:rPr>
          <w:rFonts w:ascii="Times New Roman" w:hAnsi="Times New Roman" w:cs="Times New Roman"/>
        </w:rPr>
        <w:t>13. Likumprojekta 42. panta trešajā daļā minēts, ka Uzņēmumu reģistrs pēc šā panta otrajā daļā minēto dokumentu saņemšanas ne vēlāk kā piecu darbdienu laikā publicē oficiālajā izdevumā "Latvijas Vēstnesis" paziņojumu, ka šā panta pirmajā daļā minētā informācija pieejama Uzņēmumu reģistrā. Informējam, ka šī gada 11. maijā Ministru kabinets skatīs likumprojektus “Grozījumi Komerclikumā” (TA-759) un “Grozījumi likumā “Par Latvijas Republikas Uzņēmumu reģistru”” (TA-762) ar kuriem tiek mainīta komercreģistra dokumentu izsludināšanas kārtība, paredzot, ka sabiedrības dokumenti, kas atrodas komersanta reģistrācijas lietas publiskajā daļā ar 2021. gada 1. augustu tiks publicēti Uzņēmumu reģistra tīmekļvietnē (</w:t>
      </w:r>
      <w:hyperlink r:id="rId14" w:tooltip="https://info.ur.gov.lv" w:history="1">
        <w:r>
          <w:rPr>
            <w:rStyle w:val="Hyperlink"/>
            <w:rFonts w:ascii="Times New Roman" w:hAnsi="Times New Roman" w:cs="Times New Roman"/>
          </w:rPr>
          <w:t>https://info.ur.gov.lv</w:t>
        </w:r>
      </w:hyperlink>
      <w:r>
        <w:rPr>
          <w:rFonts w:ascii="Times New Roman" w:hAnsi="Times New Roman" w:cs="Times New Roman"/>
        </w:rPr>
        <w:t xml:space="preserve">). Proti, sākot ar 2021. gada 1. augustu komercreģistrā pieejamo dokumentu publicēšana tiks nodrošināta Uzņēmumu reģistra tīmekļvietnē (nevis oficiālajā izdevumā "Latvijas Vēstnesis", kā tas ir bijis līdz šim). </w:t>
      </w:r>
    </w:p>
    <w:bookmarkEnd w:id="0"/>
    <w:p w:rsidR="008E16D6" w:rsidRDefault="008E16D6" w:rsidP="008E16D6">
      <w:pPr>
        <w:ind w:firstLine="567"/>
        <w:jc w:val="both"/>
        <w:rPr>
          <w:rFonts w:ascii="Times New Roman" w:hAnsi="Times New Roman" w:cs="Times New Roman"/>
        </w:rPr>
      </w:pPr>
      <w:r>
        <w:rPr>
          <w:rFonts w:ascii="Times New Roman" w:hAnsi="Times New Roman" w:cs="Times New Roman"/>
        </w:rPr>
        <w:t>Līdz ar to lūdzam precizēt likumprojekta 42. panta trešo daļu, izsakot to šādā redakcijā: “(3) Uzņēmumu reģistrs pēc šā panta otrajā daļā minēto dokumentu saņemšanas publicē tos Uzņēmumu reģistra tīmekļvietnē.”</w:t>
      </w:r>
    </w:p>
    <w:p w:rsidR="008E16D6" w:rsidRDefault="008E16D6" w:rsidP="008E16D6">
      <w:pPr>
        <w:ind w:firstLine="567"/>
        <w:jc w:val="both"/>
        <w:rPr>
          <w:rFonts w:ascii="Times New Roman" w:hAnsi="Times New Roman" w:cs="Times New Roman"/>
          <w:color w:val="CC0099"/>
          <w:lang w:eastAsia="lv-LV"/>
        </w:rPr>
      </w:pPr>
    </w:p>
    <w:p w:rsidR="008E16D6" w:rsidRDefault="008E16D6" w:rsidP="008E16D6">
      <w:pPr>
        <w:ind w:firstLine="567"/>
        <w:jc w:val="both"/>
        <w:rPr>
          <w:rFonts w:ascii="Times New Roman" w:hAnsi="Times New Roman" w:cs="Times New Roman"/>
        </w:rPr>
      </w:pPr>
      <w:r>
        <w:rPr>
          <w:rFonts w:ascii="Times New Roman" w:hAnsi="Times New Roman" w:cs="Times New Roman"/>
        </w:rPr>
        <w:t>14. Tieslietu ministrija uztur iebildumu par likumprojekta 44. pantu, jo iebildums pēc būtības nav ņemts vērā. Atkārtoti vēršam uzmanību, ka administratīvajā procesā nepastāv izmeklēšanas pilnvaras, kādas ir noteiktas administratīvās atbildības procesā vai kriminālprocesā. Lai neradītu maldinošu un Latvijas tiesību sistēmai neatbilstošu regulējumu, lūdzam precizēt likumprojekta 44. panta nosaukumu. Proti, no normā ietvertā regulējuma var secināt, ka tajā ietvertās "izmeklēšanas pilnvaras" pēc būtības atbilst valsts pārvaldes iestādes vispārējām funkcijām, tostarp informācijas vākšanai un uzraudzībai, tāpēc lūdzam neizmantot panta nosaukumā terminu "izmeklēšanas", kas neatbilst nacionālajam administratīvā procesa regulējumam.</w:t>
      </w:r>
    </w:p>
    <w:p w:rsidR="008E16D6" w:rsidRDefault="008E16D6" w:rsidP="008E16D6">
      <w:pPr>
        <w:ind w:firstLine="567"/>
        <w:jc w:val="both"/>
        <w:rPr>
          <w:rFonts w:ascii="Times New Roman" w:hAnsi="Times New Roman" w:cs="Times New Roman"/>
        </w:rPr>
      </w:pPr>
      <w:r>
        <w:rPr>
          <w:rFonts w:ascii="Times New Roman" w:hAnsi="Times New Roman" w:cs="Times New Roman"/>
        </w:rPr>
        <w:t>Vienlaikus atkārtoti vēršam uzmanību, ka likumprojekta 43. panta trešajā daļā ietvertās Komisijas tiesības iekļūt privātīpašumā ir būtisks tiesību ierobežojums, kas pieļaujams tikai atsevišķos, īpaši pamatotos un ar likumu noteiktos gadījumos (</w:t>
      </w:r>
      <w:r>
        <w:rPr>
          <w:rFonts w:ascii="Times New Roman" w:hAnsi="Times New Roman" w:cs="Times New Roman"/>
          <w:i/>
          <w:iCs/>
        </w:rPr>
        <w:t>sk., piemēram, Administratīvās atbildības likuma 110. panta otro daļu)</w:t>
      </w:r>
      <w:r>
        <w:rPr>
          <w:rFonts w:ascii="Times New Roman" w:hAnsi="Times New Roman" w:cs="Times New Roman"/>
        </w:rPr>
        <w:t>. Ievērojot minēto, lūdzam izvērtēt likumprojektā ietverto regulējumu, precizēt to un nepieciešamības gadījumā papildināt anotāciju ar atbilstošu pamatojumu. Vēršam uzmanību, ka regulējums nav precizēts, kā arī anotācija nav papildināta ar pamatojumu. Ievērojot minēto, atkārtoti lūdzam izvērtēt likumprojektā ietverto regulējumu, un, ja tajā ietvertais pamattiesību ierobežojums tiek saglabāts, lūdzam papildināt anotāciju ar atbilstošu pamatojumu.</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lastRenderedPageBreak/>
        <w:t xml:space="preserve">15. Tieslietu ministrijas iebildums par likumprojekta 62. pantu nav ņemts vērā, tāpēc to uzturam. Atkārtoti vēršam uzmanību, ka likumprojekta 62.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 </w:t>
      </w:r>
    </w:p>
    <w:p w:rsidR="008E16D6" w:rsidRDefault="008E16D6" w:rsidP="008E16D6">
      <w:pPr>
        <w:ind w:firstLine="567"/>
        <w:jc w:val="both"/>
        <w:rPr>
          <w:rFonts w:ascii="Times New Roman" w:hAnsi="Times New Roman" w:cs="Times New Roman"/>
          <w:lang w:val="en-US"/>
        </w:rPr>
      </w:pPr>
      <w:r>
        <w:rPr>
          <w:rFonts w:ascii="Times New Roman" w:hAnsi="Times New Roman" w:cs="Times New Roman"/>
        </w:rPr>
        <w:t xml:space="preserve">Direktīvas Nr. 2019/2034 50. panta 2. punkts noteic, ka kompetentās iestādes, kas ir saņēmušas pieprasījumu atbilstoši 1. punktam, </w:t>
      </w:r>
      <w:r>
        <w:rPr>
          <w:rFonts w:ascii="Times New Roman" w:hAnsi="Times New Roman" w:cs="Times New Roman"/>
          <w:u w:val="single"/>
        </w:rPr>
        <w:t>rīkojas jebkurā no šiem veidiem</w:t>
      </w:r>
      <w:r>
        <w:rPr>
          <w:rFonts w:ascii="Times New Roman" w:hAnsi="Times New Roman" w:cs="Times New Roman"/>
        </w:rPr>
        <w:t xml:space="preserve">: a) pārbaudi veic pašas, ievērojot savu kompetenci; b) ļauj pārbaudi veikt kompetentajām iestādēm, kuras iesniedza minēto pieprasījumu; c) pārbaudes veikšanu uztic revidentam vai ekspertam, kas dara to objektīvi un nekavējoties ziņo par rezultātiem. Vienlaikus vēršam uzmanību, ka Direktīvas Nr. 2019/2034 50. panta 2. punkts oriģinālvalodā noteic, ka </w:t>
      </w:r>
      <w:r>
        <w:rPr>
          <w:rFonts w:ascii="Times New Roman" w:hAnsi="Times New Roman" w:cs="Times New Roman"/>
          <w:lang w:val="en-US"/>
        </w:rPr>
        <w:t xml:space="preserve">"Competent authorities that have received a request pursuant to paragraph 1 </w:t>
      </w:r>
      <w:r>
        <w:rPr>
          <w:rFonts w:ascii="Times New Roman" w:hAnsi="Times New Roman" w:cs="Times New Roman"/>
          <w:u w:val="single"/>
          <w:lang w:val="en-US"/>
        </w:rPr>
        <w:t>shall do any of the following</w:t>
      </w:r>
      <w:r>
        <w:rPr>
          <w:rFonts w:ascii="Times New Roman" w:hAnsi="Times New Roman" w:cs="Times New Roman"/>
          <w:lang w:val="en-US"/>
        </w:rPr>
        <w:t>:(..)".</w:t>
      </w:r>
    </w:p>
    <w:p w:rsidR="008E16D6" w:rsidRDefault="008E16D6" w:rsidP="008E16D6">
      <w:pPr>
        <w:ind w:firstLine="567"/>
        <w:jc w:val="both"/>
        <w:rPr>
          <w:rFonts w:ascii="Times New Roman" w:hAnsi="Times New Roman" w:cs="Times New Roman"/>
        </w:rPr>
      </w:pPr>
      <w:r>
        <w:rPr>
          <w:rFonts w:ascii="Times New Roman" w:hAnsi="Times New Roman" w:cs="Times New Roman"/>
        </w:rPr>
        <w:t>Ievērojot minēto, jānorāda, ka Direktīvas Nr. 2019/2034 50. panta 2. punktā tiek uzskaitīti iespējamie/pieļaujamie rīcības varianti, bet no tā neizriet, ka nacionālajās tiesībās būtu jāpārņem visi uzskaitītie varianti. Visus variantus būtu racionāli pārņemt, bet, ja kāds no tiem ir pretrunā nacionālajām tiesībām, tad Direktīvas Nr. 2019/2034 korektai pārņemšanai pietiek ar vienas no uzskaitītajām iespējām transponēšanu.</w:t>
      </w:r>
    </w:p>
    <w:p w:rsidR="008E16D6" w:rsidRDefault="008E16D6" w:rsidP="008E16D6">
      <w:pPr>
        <w:ind w:firstLine="567"/>
        <w:jc w:val="both"/>
        <w:rPr>
          <w:rFonts w:ascii="Times New Roman" w:hAnsi="Times New Roman" w:cs="Times New Roman"/>
        </w:rPr>
      </w:pPr>
      <w:r>
        <w:rPr>
          <w:rFonts w:ascii="Times New Roman" w:hAnsi="Times New Roman" w:cs="Times New Roman"/>
        </w:rPr>
        <w:t>Ņemot vērā minēto, lūdzam atbilstoši precizēt likumprojektu.</w:t>
      </w:r>
    </w:p>
    <w:p w:rsidR="008E16D6" w:rsidRDefault="008E16D6" w:rsidP="008E16D6">
      <w:pPr>
        <w:ind w:firstLine="567"/>
        <w:jc w:val="both"/>
        <w:rPr>
          <w:rFonts w:ascii="Times New Roman" w:hAnsi="Times New Roman" w:cs="Times New Roman"/>
        </w:rPr>
      </w:pPr>
    </w:p>
    <w:p w:rsidR="008E16D6" w:rsidRDefault="008E16D6" w:rsidP="008E16D6">
      <w:pPr>
        <w:pStyle w:val="NoSpacing"/>
        <w:spacing w:line="276" w:lineRule="auto"/>
        <w:ind w:firstLine="567"/>
        <w:jc w:val="both"/>
        <w:rPr>
          <w:sz w:val="22"/>
          <w:szCs w:val="22"/>
        </w:rPr>
      </w:pPr>
      <w:r>
        <w:rPr>
          <w:sz w:val="22"/>
          <w:szCs w:val="22"/>
        </w:rPr>
        <w:t xml:space="preserve">16. Tieslietu ministrijas iebildums par likumprojekta 68. panta trešās daļas 2. punktu nav ņemts vērā, tāpēc tiek uzturēts. Atkārtoti vēršam uzmanību, ka likumprojekta 68. panta trešās daļas 2. punkts dublē Administratīvā procesa likuma 185. panta ceturtās daļas 10. punktu, tāpēc atbilstoši noteikumu Nr. 108 3.2. apakšpunktam lūdzam to izslēgt. </w:t>
      </w:r>
    </w:p>
    <w:p w:rsidR="008E16D6" w:rsidRDefault="008E16D6" w:rsidP="008E16D6">
      <w:pPr>
        <w:pStyle w:val="NoSpacing"/>
        <w:spacing w:line="276" w:lineRule="auto"/>
        <w:ind w:firstLine="567"/>
        <w:jc w:val="both"/>
        <w:rPr>
          <w:sz w:val="22"/>
          <w:szCs w:val="22"/>
        </w:rPr>
      </w:pPr>
      <w:r>
        <w:rPr>
          <w:sz w:val="22"/>
          <w:szCs w:val="22"/>
        </w:rPr>
        <w:t xml:space="preserve">Papildus skaidrojam, ka saskaņā ar Administratīvā procesa likuma 185. panta ceturtās daļas 10. punktu, gadījumos, kad administratīvais akts atceļ, </w:t>
      </w:r>
      <w:r>
        <w:rPr>
          <w:sz w:val="22"/>
          <w:szCs w:val="22"/>
          <w:u w:val="single"/>
        </w:rPr>
        <w:t>anulē</w:t>
      </w:r>
      <w:r>
        <w:rPr>
          <w:sz w:val="22"/>
          <w:szCs w:val="22"/>
        </w:rPr>
        <w:t xml:space="preserve"> vai aptur speciālo atļauju (</w:t>
      </w:r>
      <w:r>
        <w:rPr>
          <w:sz w:val="22"/>
          <w:szCs w:val="22"/>
          <w:u w:val="single"/>
        </w:rPr>
        <w:t>licenci</w:t>
      </w:r>
      <w:r>
        <w:rPr>
          <w:sz w:val="22"/>
          <w:szCs w:val="22"/>
        </w:rPr>
        <w:t xml:space="preserve">, sertifikātu, akreditāciju u.tml.), </w:t>
      </w:r>
      <w:r>
        <w:rPr>
          <w:sz w:val="22"/>
          <w:szCs w:val="22"/>
          <w:u w:val="single"/>
        </w:rPr>
        <w:t>pieteikuma iesniegšana tiesā</w:t>
      </w:r>
      <w:r>
        <w:rPr>
          <w:sz w:val="22"/>
          <w:szCs w:val="22"/>
        </w:rPr>
        <w:t xml:space="preserve"> par administratīvā akta atcelšanu, atzīšanu par spēku zaudējušu vai spēkā neesošu </w:t>
      </w:r>
      <w:r>
        <w:rPr>
          <w:sz w:val="22"/>
          <w:szCs w:val="22"/>
          <w:u w:val="single"/>
        </w:rPr>
        <w:t>neaptur administratīvā akta darbību</w:t>
      </w:r>
      <w:r>
        <w:rPr>
          <w:sz w:val="22"/>
          <w:szCs w:val="22"/>
        </w:rPr>
        <w:t xml:space="preserve"> no dienas, kad pieteikums saņemts tiesā. Ja likumprojektā ir nepieciešams noteikt, ka šāds regulējums attiecas arī uz administratīvo aktu apstrīdēšanu, to var iekļaut, bet attiecībā uz pārsūdzēšanu – tā ir Administratīvā procesa likuma dublēšana. </w:t>
      </w:r>
    </w:p>
    <w:p w:rsidR="008E16D6" w:rsidRDefault="008E16D6" w:rsidP="008E16D6">
      <w:pPr>
        <w:pStyle w:val="NoSpacing"/>
        <w:spacing w:line="276" w:lineRule="auto"/>
        <w:ind w:firstLine="567"/>
        <w:jc w:val="both"/>
        <w:rPr>
          <w:sz w:val="22"/>
          <w:szCs w:val="22"/>
        </w:rPr>
      </w:pPr>
      <w:r>
        <w:rPr>
          <w:sz w:val="22"/>
          <w:szCs w:val="22"/>
        </w:rPr>
        <w:t xml:space="preserve">Vienlaikus jānorāda, ka spēkā esošajā tiesiskajā regulējumā var būt nepilnības, tomēr tas nenozīmē, ka, izstrādājot jaunu normatīvo aktu, šādas nepilnības būtu jāpārņem – tostarp tiesību normu dublēšanos. </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17. Kas attiecas uz likumprojekta 69. pantu, vēršam uzmanību,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likumprojektu vai ar grozāmo likumu saistīto sodoša </w:t>
      </w:r>
      <w:r>
        <w:rPr>
          <w:rFonts w:ascii="Times New Roman" w:hAnsi="Times New Roman" w:cs="Times New Roman"/>
        </w:rPr>
        <w:lastRenderedPageBreak/>
        <w:t>rakstura administratīvo sankciju piemērošanu administratīvā pārkāpuma procesa regulējumā. Turklāt arī spēkā esošajā regulējumā nav skaidri nodalītas sodoša rakstura sankcijas un nav izveidots pienācīgs to piemērošanas process.</w:t>
      </w:r>
    </w:p>
    <w:p w:rsidR="008E16D6" w:rsidRDefault="008E16D6" w:rsidP="008E16D6">
      <w:pPr>
        <w:ind w:firstLine="567"/>
        <w:jc w:val="both"/>
        <w:rPr>
          <w:rFonts w:ascii="Times New Roman" w:hAnsi="Times New Roman" w:cs="Times New Roman"/>
        </w:rPr>
      </w:pPr>
      <w:r>
        <w:rPr>
          <w:rFonts w:ascii="Times New Roman" w:hAnsi="Times New Roman" w:cs="Times New Roman"/>
        </w:rPr>
        <w:t>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 Vēršam uzmanību, ka minētais uzdevums ir attiecināms arī uz visiem šajā gadījumā grozītajiem likumiem.</w:t>
      </w:r>
    </w:p>
    <w:p w:rsidR="008E16D6" w:rsidRDefault="008E16D6" w:rsidP="008E16D6">
      <w:pPr>
        <w:ind w:firstLine="567"/>
        <w:jc w:val="both"/>
        <w:rPr>
          <w:rFonts w:ascii="Times New Roman" w:hAnsi="Times New Roman" w:cs="Times New Roman"/>
        </w:rPr>
      </w:pPr>
      <w:r>
        <w:rPr>
          <w:rFonts w:ascii="Times New Roman" w:hAnsi="Times New Roman" w:cs="Times New Roman"/>
        </w:rPr>
        <w:t>Izziņas 31. punktā norādīts: "</w:t>
      </w:r>
      <w:r>
        <w:rPr>
          <w:rFonts w:ascii="Times New Roman" w:hAnsi="Times New Roman" w:cs="Times New Roman"/>
          <w:i/>
          <w:iCs/>
        </w:rPr>
        <w:t>Atbilstoši grozījumi Finanšu instrumentu tirgus likumā tiek gatavoti un plānots tos iesniegt Saeimas atbildīgajā komisijā pirms 2. lasījuma likumprojektam "Grozījumi Finanšu instrumentu tirgus likumā". Ņemot vērā to, ka likumprojekta "Ieguldījumu brokeru sabiedrību likums" 69. pantā tiek pārcelts Finanšu instrumentu tirgus likuma 148. panta piektās un piecpadsmitās daļas regulējums, tad informējam, ka likumprojekta 69. pants tiks precizēts atbilstoši redakcijai, kura tiks pieņemta likumprojektā "Grozījumi finanšu instrumentu tirgus likumā", kurš ietilpst likumprojektu paketē "Latvijas Bankas likums</w:t>
      </w:r>
      <w:r>
        <w:rPr>
          <w:rFonts w:ascii="Times New Roman" w:hAnsi="Times New Roman" w:cs="Times New Roman"/>
        </w:rPr>
        <w:t>"."</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Ir apšaubāms, ka līdz minēto priekšlikumu likumprojektam "Grozījumi Finanšu instrumentu tirgus likumā" iesniegšanas laikam ir iespējams izveidot sistēmiskus un kvalitatīvus priekšlikumus sankciju regulējumam. Tomēr, pat ja šādi priekšlikumi tiktu virzīti, tas neliedz novērst konstatētās nepilnības projektā jau šobrīd (neskarot administratīvā pārkāpuma procesa un administratīvā procesa izvēles jautājumu). Jebkāds vairāk vai mazāk veiksmīgs mēģinājums izveidot sankciju materiāltiesisko jautājumu regulējumu būs kvalitatīvāks nekā pašreizējais projekts.</w:t>
      </w:r>
    </w:p>
    <w:p w:rsidR="008E16D6" w:rsidRDefault="008E16D6" w:rsidP="008E16D6">
      <w:pPr>
        <w:ind w:firstLine="567"/>
        <w:jc w:val="both"/>
        <w:rPr>
          <w:rFonts w:ascii="Times New Roman" w:hAnsi="Times New Roman" w:cs="Times New Roman"/>
        </w:rPr>
      </w:pPr>
      <w:r>
        <w:rPr>
          <w:rFonts w:ascii="Times New Roman" w:hAnsi="Times New Roman" w:cs="Times New Roman"/>
        </w:rPr>
        <w:t>Ievērojot minēto, pirmkārt, vēršam uzmanību, ka projekta XII nodaļas nosaukums "Atbildība par normatīvo aktu pārkāpumiem" neatbilst nodaļas saturam. Pirmkārt, projekta 69. panta pirmajā daļā ir minēti "lēmumu pārkāpumi", kas nav normatīvie akti. Otrkārt, projekta 69. panta nosaukumā ir minēti "citi administratīvie pasākumi". Nav saprotams, kas ir domāts ar šiem "citiem administratīvajiem pasākumiem". Piemēram, ja tie ietver arī t. s. uzraudzības pasākumus, tad tie nav regulējami šajā nodaļā (uzraudzība un atbildība ir nošķirti, patstāvīgi jautājumi; sk. arī projekta VIII nodaļu).</w:t>
      </w:r>
    </w:p>
    <w:p w:rsidR="008E16D6" w:rsidRDefault="008E16D6" w:rsidP="008E16D6">
      <w:pPr>
        <w:ind w:firstLine="567"/>
        <w:jc w:val="both"/>
        <w:rPr>
          <w:rFonts w:ascii="Times New Roman" w:hAnsi="Times New Roman" w:cs="Times New Roman"/>
        </w:rPr>
      </w:pPr>
      <w:r>
        <w:rPr>
          <w:rFonts w:ascii="Times New Roman" w:hAnsi="Times New Roman" w:cs="Times New Roman"/>
        </w:rPr>
        <w:t>Tādējādi projekta XII nodaļas nosaukums varētu būt, piemēram, "Atbildība", ievērojot to, ka šajā nodaļā netiktu regulēti uzraudzības jautājumi.</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 xml:space="preserve">Vienlaikus nepieciešams norobežot sankcijas un minētos "citus administratīvos pasākumus", ietverot atbilstošu skaidrojumu projekta anotācijā. </w:t>
      </w:r>
    </w:p>
    <w:p w:rsidR="008E16D6" w:rsidRDefault="008E16D6" w:rsidP="008E16D6">
      <w:pPr>
        <w:ind w:firstLine="567"/>
        <w:jc w:val="both"/>
        <w:rPr>
          <w:rFonts w:ascii="Times New Roman" w:hAnsi="Times New Roman" w:cs="Times New Roman"/>
        </w:rPr>
      </w:pPr>
      <w:r>
        <w:rPr>
          <w:rFonts w:ascii="Times New Roman" w:hAnsi="Times New Roman" w:cs="Times New Roman"/>
        </w:rPr>
        <w:t>Otrkārt, vēršam uzmanību, ka atbildības (sankciju) regulējums ir paredzēts arī ārpus projekta XII nodaļas. Piemēram, projekta 16. pantā paredzēti licences anulēšanas gadījumi (panta nosaukums gan šķietami vēsta, ka regulējums attiecas uz anulēšanas procesu jeb kārtību). Daļa no šiem gadījumiem varētu būt sodoša rakstura administratīvās sankcijas (sk. projekta 16. panta pirmās daļas 4. un 5. punktu). Līdzīgi apsvērumi attiecas arī uz projekta 23. pantu. Tāpat sankciju piemērošanas regulējums ir ietverts projekta 65. pantā</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Līdz ar to projekta XII nodaļa nesatur visu atbildības regulējumu. Saskaņā ar Ministru kabineta 2009. gada 3. februāra noteikumu Nr. 108 "Normatīvo aktu projektu sagatavošanas noteikumi" 17. punktu nodaļā apvieno visus pantus, kas attiecas uz vienu regulējamo jautājumu.</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Treškārt, nav skaidri iespējamie sankciju veidi un to piemērošanas gadījumi. Sankcijas šķietami ir regulētas projekta 69. pantā. Tomēr skatoties kopsakarā, piemēram, ar projekta </w:t>
      </w:r>
      <w:r>
        <w:rPr>
          <w:rFonts w:ascii="Times New Roman" w:hAnsi="Times New Roman" w:cs="Times New Roman"/>
        </w:rPr>
        <w:lastRenderedPageBreak/>
        <w:t xml:space="preserve">68. panta trešo daļu, pastāv šaubas, vai projektā 69. pantā minētais sankciju uzskaitījums ir izsmeļošs. </w:t>
      </w:r>
    </w:p>
    <w:p w:rsidR="008E16D6" w:rsidRDefault="008E16D6" w:rsidP="008E16D6">
      <w:pPr>
        <w:ind w:firstLine="567"/>
        <w:jc w:val="both"/>
        <w:rPr>
          <w:rFonts w:ascii="Times New Roman" w:hAnsi="Times New Roman" w:cs="Times New Roman"/>
        </w:rPr>
      </w:pPr>
      <w:r>
        <w:rPr>
          <w:rFonts w:ascii="Times New Roman" w:hAnsi="Times New Roman" w:cs="Times New Roman"/>
        </w:rPr>
        <w:t>Turklāt arī projekta 70. pantā minētā sankciju un citu administratīvo pasākumu publicēšana var būt patstāvīga administratīvā sankcija. Tas, vai šādai sankcijai piemīt krimināltiesisks jeb sodošs raksturs, ir diskutabls jautājums (</w:t>
      </w:r>
      <w:r>
        <w:rPr>
          <w:rFonts w:ascii="Times New Roman" w:hAnsi="Times New Roman" w:cs="Times New Roman"/>
          <w:i/>
          <w:iCs/>
        </w:rPr>
        <w:t>sal. Jansen O. Country Analysis – The Netherlands. In: Administrative Sanctions in the European Union. Jansen O. (Ed.). Cambridge: Intersentia, 2013, p. 323-243</w:t>
      </w:r>
      <w:r>
        <w:rPr>
          <w:rFonts w:ascii="Times New Roman" w:hAnsi="Times New Roman" w:cs="Times New Roman"/>
        </w:rPr>
        <w:t>), un tās raksturs būtu vērtējams atsevišķi. Tomēr, ievērojot publicēšanas iespējamo mērķi un ietekmi uz personas reputāciju, kā arī citu finanšu tirgus jomas regulējumu, pirmšķietami pastāv vairāki argumenti, kas liecina, ka informācijas publiskošana arī ir sodoša rakstura administratīva sankcija. Šobrīd publisks paziņojums ir minēts gan projekta 69. pantā, gan mazliet atšķirīgi regulēts vēl atsevišķi projekta 70. pantā.</w:t>
      </w:r>
    </w:p>
    <w:p w:rsidR="008E16D6" w:rsidRDefault="008E16D6" w:rsidP="008E16D6">
      <w:pPr>
        <w:ind w:firstLine="567"/>
        <w:jc w:val="both"/>
        <w:rPr>
          <w:rFonts w:ascii="Times New Roman" w:hAnsi="Times New Roman" w:cs="Times New Roman"/>
        </w:rPr>
      </w:pPr>
      <w:r>
        <w:rPr>
          <w:rFonts w:ascii="Times New Roman" w:hAnsi="Times New Roman" w:cs="Times New Roman"/>
        </w:rPr>
        <w:t>   Līdz ar to nepieciešams projekta anotācijā izvērtēt un projektā skaidri un izsmeļoši norādīt, kuri pasākumi ir krimināltiesiska (sodoša) rakstura administratīvās sankcijas.</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Vienlaikus lūdzam projekta anotācijā iekļaut pamatojumu, ka informācijas saturs un ievietošanas mājaslapā (tīmekļa vietnē) kārtība atbilst nevainīguma prezumpcijai (</w:t>
      </w:r>
      <w:r>
        <w:rPr>
          <w:rFonts w:ascii="Times New Roman" w:hAnsi="Times New Roman" w:cs="Times New Roman"/>
          <w:i/>
          <w:iCs/>
        </w:rPr>
        <w:t>sal. Pfaeltzer J. J. W. Naming and Shaming in Financial Market Regulations: A Violation of the Presumption of Innocence? Utrecht Law Review, 2014, Vol. 10, Iss. 1, p. 134-148</w:t>
      </w:r>
      <w:r>
        <w:rPr>
          <w:rFonts w:ascii="Times New Roman" w:hAnsi="Times New Roman" w:cs="Times New Roman"/>
        </w:rPr>
        <w:t>).</w:t>
      </w:r>
    </w:p>
    <w:p w:rsidR="008E16D6" w:rsidRDefault="008E16D6" w:rsidP="008E16D6">
      <w:pPr>
        <w:ind w:firstLine="567"/>
        <w:jc w:val="both"/>
        <w:rPr>
          <w:rFonts w:ascii="Times New Roman" w:hAnsi="Times New Roman" w:cs="Times New Roman"/>
        </w:rPr>
      </w:pPr>
      <w:r>
        <w:rPr>
          <w:rFonts w:ascii="Times New Roman" w:hAnsi="Times New Roman" w:cs="Times New Roman"/>
        </w:rPr>
        <w:t>Ceturtkārt, projekta 69. pantā paredzēts, ka sankcijas un citus administratīvos pasākumus ir tiesības piemērot "par šā likuma, Regulas Nr. 2019/2033, Regulas  Nr. 575/2013 28., 52. vai 63. panta pārkāpumiem, kā arī Komisijas izdoto normatīvo noteikumu vai pieņemto lēmumu pārkāpumiem". Sistēmiski skatoties, secināms, ka projekta 69. panta pirmā daļa nav tikai iespējamo sankciju uzskaitījums, bet ietver arī iespējamo pārkāpumu uzskaitījumu.</w:t>
      </w:r>
    </w:p>
    <w:p w:rsidR="008E16D6" w:rsidRDefault="008E16D6" w:rsidP="008E16D6">
      <w:pPr>
        <w:ind w:firstLine="567"/>
        <w:jc w:val="both"/>
        <w:rPr>
          <w:rFonts w:ascii="Times New Roman" w:hAnsi="Times New Roman" w:cs="Times New Roman"/>
        </w:rPr>
      </w:pPr>
      <w:r>
        <w:rPr>
          <w:rFonts w:ascii="Times New Roman" w:hAnsi="Times New Roman" w:cs="Times New Roman"/>
        </w:rPr>
        <w:t>Tā kā šajā pantā daļā ir paredzētas krimināltiesiska (sodoša) rakstura sankcijas, tad pārkāpumi definējami, ievērojot sodu tiesībās valdošos principus un kritērijus.</w:t>
      </w:r>
    </w:p>
    <w:p w:rsidR="008E16D6" w:rsidRDefault="008E16D6" w:rsidP="008E16D6">
      <w:pPr>
        <w:ind w:firstLine="567"/>
        <w:jc w:val="both"/>
        <w:rPr>
          <w:rFonts w:ascii="Times New Roman" w:hAnsi="Times New Roman" w:cs="Times New Roman"/>
        </w:rPr>
      </w:pPr>
      <w:r>
        <w:rPr>
          <w:rFonts w:ascii="Times New Roman" w:hAnsi="Times New Roman" w:cs="Times New Roman"/>
        </w:rPr>
        <w:t>Atbildību noteicošas normas nevar atzīt par neskaidrām tāpēc vien, ka to saturs noskaidrojams, pamatojoties uz citām tiesību normām vai normatīvajiem aktiem (</w:t>
      </w:r>
      <w:r>
        <w:rPr>
          <w:rFonts w:ascii="Times New Roman" w:hAnsi="Times New Roman" w:cs="Times New Roman"/>
          <w:i/>
          <w:iCs/>
        </w:rPr>
        <w:t>sal. Satversmes tiesas 19.02.2021. sprieduma lietā Nr. 2020-23-01 15. punkts</w:t>
      </w:r>
      <w:r>
        <w:rPr>
          <w:rFonts w:ascii="Times New Roman" w:hAnsi="Times New Roman" w:cs="Times New Roman"/>
        </w:rPr>
        <w:t>).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Pr>
          <w:rFonts w:ascii="Times New Roman" w:hAnsi="Times New Roman" w:cs="Times New Roman"/>
          <w:i/>
          <w:iCs/>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Pr>
          <w:rFonts w:ascii="Times New Roman" w:hAnsi="Times New Roman" w:cs="Times New Roman"/>
        </w:rPr>
        <w:t>).</w:t>
      </w:r>
    </w:p>
    <w:p w:rsidR="008E16D6" w:rsidRDefault="008E16D6" w:rsidP="008E16D6">
      <w:pPr>
        <w:ind w:firstLine="567"/>
        <w:jc w:val="both"/>
        <w:rPr>
          <w:rFonts w:ascii="Times New Roman" w:hAnsi="Times New Roman" w:cs="Times New Roman"/>
        </w:rPr>
      </w:pPr>
      <w:r>
        <w:rPr>
          <w:rFonts w:ascii="Times New Roman" w:hAnsi="Times New Roman" w:cs="Times New Roman"/>
        </w:rPr>
        <w:t>Ievērojot minēto, norāde uz likuma vai normatīvo noteikumu pārkāpumiem visticamāk neatbilst pārkāpumu definēšanas prasībām. Tā neļauj personai pietiekami noteikti paredzēt, kāda veida rīcība ir sodāma. Tā vietā projektā izmantojams precīzāks pārkāpumu raksturojums (sal. sk. projekta 69. panta otro daļu).</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Nebūtu paredzamas sodoša rakstura sankcijas par "pieņemto lēmumu pārkāpumiem". Tā vietā izmantojama administratīvā akta piespiedu izpilde. Turklāt, pat tajos izņēmuma gadījumos, kad sods par lēmumu nepildīšanu varētu būt paredzēts, pārkāpumam jābūt formulētam jau likumā un ārkārtīgi precīzi. Pārkāpuma saturs nevar būt atkarīgs no iestādes lēmuma, pārkāpuma pazīmes jānosaka likumdevējam.</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Piektkārt, lūdzam 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projektā noteikt konkrētu noilguma termiņu (</w:t>
      </w:r>
      <w:r>
        <w:rPr>
          <w:rFonts w:ascii="Times New Roman" w:hAnsi="Times New Roman" w:cs="Times New Roman"/>
          <w:i/>
          <w:iCs/>
        </w:rPr>
        <w:t xml:space="preserve">Danovskis E. Sodu tiesību principu nozīme </w:t>
      </w:r>
      <w:r>
        <w:rPr>
          <w:rFonts w:ascii="Times New Roman" w:hAnsi="Times New Roman" w:cs="Times New Roman"/>
          <w:i/>
          <w:iCs/>
        </w:rPr>
        <w:lastRenderedPageBreak/>
        <w:t>administratīvajās tiesībās. Grām.: Autoru kolektīvs. Juridisko personu publiski tiesiskā atbildība. Rīga: LU Akadēmiskais apgāds, 2018, 139. lpp.</w:t>
      </w:r>
      <w:r>
        <w:rPr>
          <w:rFonts w:ascii="Times New Roman" w:hAnsi="Times New Roman" w:cs="Times New Roman"/>
        </w:rPr>
        <w:t>).</w:t>
      </w:r>
    </w:p>
    <w:p w:rsidR="008E16D6" w:rsidRDefault="008E16D6" w:rsidP="008E16D6">
      <w:pPr>
        <w:ind w:firstLine="567"/>
        <w:jc w:val="both"/>
        <w:rPr>
          <w:rFonts w:ascii="Times New Roman" w:hAnsi="Times New Roman" w:cs="Times New Roman"/>
        </w:rPr>
      </w:pPr>
      <w:r>
        <w:rPr>
          <w:rFonts w:ascii="Times New Roman" w:hAnsi="Times New Roman" w:cs="Times New Roman"/>
        </w:rPr>
        <w:t>Vienlaikus izsakām priekšlikumu projektā lietoto terminu "soda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Pr>
          <w:rFonts w:ascii="Times New Roman" w:hAnsi="Times New Roman" w:cs="Times New Roman"/>
          <w:i/>
          <w:iCs/>
        </w:rPr>
        <w:t xml:space="preserve"> (Danovskis E. Sodu tiesību principu nozīme administratīvajās tiesībās. Grām.: Juridisko personu publiski tiesiskā atbildība. Rīga: LU Akadēmiskais apgāds, 2018, 134. lpp.</w:t>
      </w:r>
      <w:r>
        <w:rPr>
          <w:rFonts w:ascii="Times New Roman" w:hAnsi="Times New Roman" w:cs="Times New Roman"/>
        </w:rPr>
        <w:t>). Līdzīgu apsvērumu dēļ ieteicams vārdus "uzlikt [sankciju]" vai "izteikt [brīdinājumu]" aizstāt ar vārdu "piemērot".</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18. Likumprojekta 73. panta ceturtā daļa un 74. panta ceturtā daļa paredz, ka tad, ja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naudas līdzekļi un finanšu instrumenti, kuri pienākas ieguldījumu brokeru sabiedrības klientiem un attiecībā uz kuriem iestājies noilgums, piekrīt valstij kā bezīpašnieka manta.</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           Skaidrojam, ka Civillikumā ir iekļauti tikai divi tiesību institūti, kas nosaka, kādas lietas un mantas piekrīt valstij. Civillikuma 930. paredz tādu institūtu kā </w:t>
      </w:r>
      <w:r>
        <w:rPr>
          <w:rFonts w:ascii="Times New Roman" w:hAnsi="Times New Roman" w:cs="Times New Roman"/>
          <w:i/>
          <w:iCs/>
        </w:rPr>
        <w:t xml:space="preserve">bezīpašnieka lietas </w:t>
      </w:r>
      <w:r>
        <w:rPr>
          <w:rFonts w:ascii="Times New Roman" w:hAnsi="Times New Roman" w:cs="Times New Roman"/>
        </w:rPr>
        <w:t xml:space="preserve">institūtu, savukārt Civillikuma 416. pants – </w:t>
      </w:r>
      <w:r>
        <w:rPr>
          <w:rFonts w:ascii="Times New Roman" w:hAnsi="Times New Roman" w:cs="Times New Roman"/>
          <w:i/>
          <w:iCs/>
        </w:rPr>
        <w:t xml:space="preserve">bezmantinieku mantu. </w:t>
      </w:r>
      <w:r>
        <w:rPr>
          <w:rFonts w:ascii="Times New Roman" w:hAnsi="Times New Roman" w:cs="Times New Roman"/>
        </w:rPr>
        <w:t xml:space="preserve">Civillikums nepazīst cita veida institūtus attiecībā piekritību valstij. Jānorāda, ka, lai gan sarunvalodā bieži lietoti un arī normatīvos aktos ieviesti termini bezsaimnieka manta vai bezīpašnieka manta, tie tomēr nav pareizi lietoti, ja ir domāts piemērot Civillikumā paredzēto. Turklāt ņemot vērā Tieslietu ministrijas ieceri precizēt minētos institūtus. </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Līdz ar to lūdzam skaidrot, vai likumprojektā ir paredzēts piemērot Civillikuma institūta būtību vai likumprojektā ir paredzēts ieviest un praksē nostiprināt cita veida institūtu, kas nav domāts </w:t>
      </w:r>
      <w:r>
        <w:rPr>
          <w:rFonts w:ascii="Times New Roman" w:hAnsi="Times New Roman" w:cs="Times New Roman"/>
          <w:i/>
          <w:iCs/>
        </w:rPr>
        <w:t xml:space="preserve">bezīpašnieka lieta vai bezmantinieku manta </w:t>
      </w:r>
      <w:r>
        <w:rPr>
          <w:rFonts w:ascii="Times New Roman" w:hAnsi="Times New Roman" w:cs="Times New Roman"/>
        </w:rPr>
        <w:t xml:space="preserve">Civillikumā izpratnē. Ja likumprojektā norādītais </w:t>
      </w:r>
      <w:r>
        <w:rPr>
          <w:rFonts w:ascii="Times New Roman" w:hAnsi="Times New Roman" w:cs="Times New Roman"/>
          <w:i/>
          <w:iCs/>
        </w:rPr>
        <w:t xml:space="preserve">bezīpašnieka manta </w:t>
      </w:r>
      <w:r>
        <w:rPr>
          <w:rFonts w:ascii="Times New Roman" w:hAnsi="Times New Roman" w:cs="Times New Roman"/>
        </w:rPr>
        <w:t xml:space="preserve">nav domāta </w:t>
      </w:r>
      <w:r>
        <w:rPr>
          <w:rFonts w:ascii="Times New Roman" w:hAnsi="Times New Roman" w:cs="Times New Roman"/>
          <w:i/>
          <w:iCs/>
        </w:rPr>
        <w:t>bezīpašnieka lieta</w:t>
      </w:r>
      <w:r>
        <w:rPr>
          <w:rFonts w:ascii="Times New Roman" w:hAnsi="Times New Roman" w:cs="Times New Roman"/>
        </w:rPr>
        <w:t xml:space="preserve"> Civillikuma izpratnē, lūdzam to norādīt anotācijā. Ja tomēr likumprojekta minētajās normās ir plānots atsaukties uz institūtiem Civillikuma izpratnē, lūdzam attiecīgi precizēt normas, kā arī to nodrošināt nozares citos normatīvos aktos.</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Vienlaikus skaidrojam, ka attiecībā uz bezmantinieku </w:t>
      </w:r>
      <w:r>
        <w:rPr>
          <w:rFonts w:ascii="Times New Roman" w:hAnsi="Times New Roman" w:cs="Times New Roman"/>
          <w:i/>
          <w:iCs/>
        </w:rPr>
        <w:t xml:space="preserve">mantu, </w:t>
      </w:r>
      <w:r>
        <w:rPr>
          <w:rFonts w:ascii="Times New Roman" w:hAnsi="Times New Roman" w:cs="Times New Roman"/>
        </w:rPr>
        <w:t xml:space="preserve">ar </w:t>
      </w:r>
      <w:r>
        <w:rPr>
          <w:rFonts w:ascii="Times New Roman" w:hAnsi="Times New Roman" w:cs="Times New Roman"/>
          <w:i/>
          <w:iCs/>
        </w:rPr>
        <w:t xml:space="preserve">mantu </w:t>
      </w:r>
      <w:r>
        <w:rPr>
          <w:rFonts w:ascii="Times New Roman" w:hAnsi="Times New Roman" w:cs="Times New Roman"/>
        </w:rPr>
        <w:t xml:space="preserve">tiek saprasts aktīvu un pasīvu kopums, kas piederēja mantojuma atstājējam, tāpat tiek precizēta valsts atbildība attiecībā uz bezmantinieku mantu. Turklāt, lai būtu </w:t>
      </w:r>
      <w:r>
        <w:rPr>
          <w:rFonts w:ascii="Times New Roman" w:hAnsi="Times New Roman" w:cs="Times New Roman"/>
          <w:i/>
          <w:iCs/>
        </w:rPr>
        <w:t xml:space="preserve">bezmantinieku manta, </w:t>
      </w:r>
      <w:r>
        <w:rPr>
          <w:rFonts w:ascii="Times New Roman" w:hAnsi="Times New Roman" w:cs="Times New Roman"/>
        </w:rPr>
        <w:t xml:space="preserve">ir jābūt izietam mantošanas procesam. Savukārt attiecībā uz bezīpašnieka </w:t>
      </w:r>
      <w:r>
        <w:rPr>
          <w:rFonts w:ascii="Times New Roman" w:hAnsi="Times New Roman" w:cs="Times New Roman"/>
          <w:i/>
          <w:iCs/>
        </w:rPr>
        <w:t xml:space="preserve">lietu, </w:t>
      </w:r>
      <w:r>
        <w:rPr>
          <w:rFonts w:ascii="Times New Roman" w:hAnsi="Times New Roman" w:cs="Times New Roman"/>
        </w:rPr>
        <w:t>tiek saprasts, ka konkrētā lieta ir palikusi bez īpašnieka. Izvērtējot likumprojektā ietvertās normas, netika gūta pārliecība, ka ar mantu tiek saprasts aktīvu un pasīvu kopums, kas pēc 10 gadiem piekrīt valstij. Turklāt, interpretējot normu, tiek secināts, ka pamatdoma ir pateikt, ka tieši klienta konkrētie naudas līdzekļi vai finanšu instrumenti pēc 10 gadiem ir kļuvuši bez īpašnieka, nevis, ka klienta visa manta piekrīt valstij.</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19. Tāpat norādām, ka likumprojekta 71. panta ceturtā daļa un 72. panta ceturtā daļa nosaka to, ka naudas līdzekļi un finanšu instrumenti, kuri pienākas ieguldījumu brokeru sabiedrības klientiem un attiecībā uz kuriem iestājies noilgums, piekrīt valstij kā bezīpašnieka lieta, taču likumprojekts nav paredzējis kārtību, kādā valsts šo bezīpašnieka lietu pārņem. Proti, nav paredzēts mehānisms, kā valsts var uzzināt par šādas bezīpašnieka lietas esamību un kā būtu jārīkojas kredītiestādei pēc noilguma iestāšanās. </w:t>
      </w:r>
    </w:p>
    <w:p w:rsidR="008E16D6" w:rsidRDefault="008E16D6" w:rsidP="008E16D6">
      <w:pPr>
        <w:ind w:firstLine="567"/>
        <w:jc w:val="both"/>
        <w:rPr>
          <w:rFonts w:ascii="Times New Roman" w:hAnsi="Times New Roman" w:cs="Times New Roman"/>
        </w:rPr>
      </w:pPr>
      <w:r>
        <w:rPr>
          <w:rFonts w:ascii="Times New Roman" w:hAnsi="Times New Roman" w:cs="Times New Roman"/>
        </w:rPr>
        <w:lastRenderedPageBreak/>
        <w:t>Ņemot vērā, ka Finanšu ministrija un Tieslietu ministrija vēlas uzlabot bezīpašnieka lietas un bezmantinieku mantas procesu, lūdzam precizēt likumprojektu, paredzot kārtību, kādā valsts pārņem šādu bezīpašnieka lietu, kā arī anotāciju papildināt ar to, vai un kas tiek plānots darīt, ja mehānisms netiek paredzēts.</w:t>
      </w:r>
    </w:p>
    <w:p w:rsidR="008E16D6" w:rsidRDefault="008E16D6" w:rsidP="008E16D6">
      <w:pPr>
        <w:ind w:firstLine="567"/>
        <w:jc w:val="both"/>
        <w:rPr>
          <w:rFonts w:ascii="Times New Roman" w:hAnsi="Times New Roman" w:cs="Times New Roman"/>
          <w:lang w:eastAsia="lv-LV"/>
        </w:rPr>
      </w:pP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20. Tieslietu ministrija ir izvērtējusi precizēto likumprojektu un tā anotācijā, kā arī izziņā iekļauto skaidrojumu, vienlaikus respektējot citos normatīvajos aktos, tostarp, Maksātnespējas likumā noteikto, un uztur iepriekš izteikto iebildumu par nepieciešamību pārskatīt regulējumu. </w:t>
      </w:r>
    </w:p>
    <w:p w:rsidR="008E16D6" w:rsidRDefault="008E16D6" w:rsidP="008E16D6">
      <w:pPr>
        <w:ind w:firstLine="567"/>
        <w:jc w:val="both"/>
        <w:rPr>
          <w:rFonts w:ascii="Times New Roman" w:hAnsi="Times New Roman" w:cs="Times New Roman"/>
        </w:rPr>
      </w:pPr>
      <w:r>
        <w:rPr>
          <w:rFonts w:ascii="Times New Roman" w:hAnsi="Times New Roman" w:cs="Times New Roman"/>
        </w:rPr>
        <w:t>Kā secināms no izziņas, tad likumprojekta 75. panta ceturtajā daļā ietvertās normas slodze jeb mērķis ir “</w:t>
      </w:r>
      <w:r>
        <w:rPr>
          <w:rFonts w:ascii="Times New Roman" w:hAnsi="Times New Roman" w:cs="Times New Roman"/>
          <w:i/>
          <w:iCs/>
        </w:rPr>
        <w:t>nodrošināt, ka tiesā iesniegtie ieguldījumu brokeru sabiedrību maksātnespējas pieteikumi “nepaslīd” garām Komisijai neatkarīgi no tā, kāds lēmums ir pieņemts iepriekš attiecībā uz konkrēto ieguldījumu brokeru sabiedrību</w:t>
      </w:r>
      <w:r>
        <w:rPr>
          <w:rFonts w:ascii="Times New Roman" w:hAnsi="Times New Roman" w:cs="Times New Roman"/>
        </w:rPr>
        <w:t xml:space="preserve">”. </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Ievērojot minēto, secināms, ka attiecīgais mērķis ir sasniedzams, ja tiesas pienākums informēt Komisiju ir attiecināms (tikai) uz gadījumiem, kad pieteikumam nav pievienota Komisijas piekrišana, proti, ziņošanas pienākums nav attiecināms uz saistāms ar noteiktiem Komisijas lēmumiem. Ievērojot minēto, norādām uz nepieciešamību likumprojekta 75. panta ceturto daļu izteikt šādā redakcijā “Tiesa, saņemot ieguldījumu brokeru sabiedrības maksātnespējas pieteikumu, kuram nav pievienota Komisijas piekrišana,  nekavējoties par saņemto pieteikumu informē Komisiju”. </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rPr>
      </w:pPr>
      <w:r>
        <w:rPr>
          <w:rFonts w:ascii="Times New Roman" w:hAnsi="Times New Roman" w:cs="Times New Roman"/>
        </w:rPr>
        <w:t>21. Turpinot par likumprojekta 75. pantu, Tieslietu ministrija uztur tās izteiktos iebildumus par to, ka šajā pantā paredzētajām normām jābūt iekļautām Civilprocesa likumā. Tieslietu ministrijas ieskatā jautājumi, kuri saistīti ar tiesas darbības un pienākumu noteikšanu, ir procesuāli, un tie jārisina procesuālajā regulējumā – konkrēti šajā gadījumā Civilprocesa likumā, un izņēmumi no tā nav pieļaujami. Tāpat Finanšu ministrijas iecerētā kārtība rada nesamērīgu slogu civilprocesa norisei.</w:t>
      </w:r>
    </w:p>
    <w:p w:rsidR="008E16D6" w:rsidRDefault="008E16D6" w:rsidP="008E16D6">
      <w:pPr>
        <w:ind w:firstLine="567"/>
        <w:jc w:val="both"/>
        <w:rPr>
          <w:rFonts w:ascii="Times New Roman" w:hAnsi="Times New Roman" w:cs="Times New Roman"/>
        </w:rPr>
      </w:pPr>
      <w:r>
        <w:rPr>
          <w:rFonts w:ascii="Times New Roman" w:hAnsi="Times New Roman" w:cs="Times New Roman"/>
        </w:rPr>
        <w:t>No maksātnespējas jomas perspektīvas šajā saistībā vēršam uzmanību, ka Maksātnespējas likuma 2. pantā patiešām ir paredzēti gadījumi, kad citos normatīvajos aktos ir pieļaujams iekļaut citādus noteikumus, nekā Maksātnespējas likumā. Taču jāuzsver, ka vairākkārtīgi jau ir diskutēts par Maksātnespējas likuma un Civilprocesa likuma savstarpējo mijiedarbību. Proti, Maksātnespējas likums kopumā paredz materiāltiesiskās normas un normas, kas regulē procesa norisi ārpus tiesas. Savukārt noteikumi, kas regulē norisi tiesā, ir ietverami Civilprocesa likumā, tā kā tieši minētais normatīvais akts regulē civilprocesuālas darbības.</w:t>
      </w:r>
    </w:p>
    <w:p w:rsidR="008E16D6" w:rsidRDefault="008E16D6" w:rsidP="008E16D6">
      <w:pPr>
        <w:ind w:firstLine="567"/>
        <w:jc w:val="both"/>
        <w:rPr>
          <w:rFonts w:ascii="Times New Roman" w:hAnsi="Times New Roman" w:cs="Times New Roman"/>
        </w:rPr>
      </w:pPr>
      <w:r>
        <w:rPr>
          <w:rFonts w:ascii="Times New Roman" w:hAnsi="Times New Roman" w:cs="Times New Roman"/>
        </w:rPr>
        <w:t xml:space="preserve">Tāpat norādām, ka Finanšu ministrijas arguments par </w:t>
      </w:r>
      <w:r>
        <w:rPr>
          <w:rFonts w:ascii="Times New Roman" w:hAnsi="Times New Roman" w:cs="Times New Roman"/>
          <w:color w:val="000000"/>
        </w:rPr>
        <w:t>finanšu sektora sadrumstalotu regulējumu nav pamatots. Norādām, ka jau šobrīd Civilprocesa likumā ir regulējums par kredītiestāžu maksātnespējas un likvidācijas lietām (47. nodaļa), kas saturiski ir līdzīga regulējumam, ko Finanšu ministrija vēlas noteikt attiecībā uz ieguldījumu brokeru sabiedrībām (piemēram, arī kredītiestādei pirms vēršanās tiesā ar maksātnespējas pieteikumu ir jāsaņem Komisijas piekrišana).</w:t>
      </w:r>
    </w:p>
    <w:p w:rsidR="008E16D6" w:rsidRDefault="008E16D6" w:rsidP="008E16D6">
      <w:pPr>
        <w:ind w:firstLine="567"/>
        <w:jc w:val="both"/>
        <w:rPr>
          <w:rFonts w:ascii="Times New Roman" w:hAnsi="Times New Roman" w:cs="Times New Roman"/>
          <w:color w:val="000000"/>
        </w:rPr>
      </w:pPr>
      <w:r>
        <w:rPr>
          <w:rFonts w:ascii="Times New Roman" w:hAnsi="Times New Roman" w:cs="Times New Roman"/>
        </w:rPr>
        <w:t xml:space="preserve">Līdz ar to Tieslietu ministrijas ieskatā jautājumi, kas risina norisi tiesā, ir ietverami Civilprocesa likumā, nevis Maksātnespējas likumā vai citā tamlīdzīgā likumā. Attiecīgi lūdzam ņemt vērā, ka </w:t>
      </w:r>
      <w:r>
        <w:rPr>
          <w:rFonts w:ascii="Times New Roman" w:hAnsi="Times New Roman" w:cs="Times New Roman"/>
          <w:color w:val="000000"/>
        </w:rPr>
        <w:t>likumprojekta 75. pantā rakstītajam, to vēl precizējot, ir jābūt iekļautam Civilprocesa likumā.</w:t>
      </w:r>
    </w:p>
    <w:p w:rsidR="008E16D6" w:rsidRDefault="008E16D6" w:rsidP="008E16D6">
      <w:pPr>
        <w:ind w:firstLine="567"/>
        <w:jc w:val="both"/>
        <w:rPr>
          <w:rFonts w:ascii="Times New Roman" w:hAnsi="Times New Roman" w:cs="Times New Roman"/>
          <w:b/>
          <w:bCs/>
          <w:lang w:eastAsia="lv-LV"/>
        </w:rPr>
      </w:pPr>
    </w:p>
    <w:p w:rsidR="008E16D6" w:rsidRDefault="008E16D6" w:rsidP="008E16D6">
      <w:pPr>
        <w:ind w:firstLine="567"/>
        <w:jc w:val="both"/>
        <w:rPr>
          <w:rFonts w:ascii="Times New Roman" w:hAnsi="Times New Roman" w:cs="Times New Roman"/>
        </w:rPr>
      </w:pPr>
      <w:r>
        <w:rPr>
          <w:rFonts w:ascii="Times New Roman" w:hAnsi="Times New Roman" w:cs="Times New Roman"/>
          <w:lang w:eastAsia="lv-LV"/>
        </w:rPr>
        <w:lastRenderedPageBreak/>
        <w:t>22. Tieslietu ministrija uztur iebildumu par</w:t>
      </w:r>
      <w:r>
        <w:rPr>
          <w:rFonts w:ascii="Times New Roman" w:hAnsi="Times New Roman" w:cs="Times New Roman"/>
          <w:b/>
          <w:bCs/>
        </w:rPr>
        <w:t xml:space="preserve"> </w:t>
      </w:r>
      <w:r>
        <w:rPr>
          <w:rFonts w:ascii="Times New Roman" w:hAnsi="Times New Roman" w:cs="Times New Roman"/>
        </w:rPr>
        <w:t xml:space="preserve">likumprojekta 76. panta pirmo daļu, kuras 1. punktā ietvertais pēdējais teikums atver kreditoru prasījumu divus aspektus – gan to atzīšanu, gan segšanas kārtību. Norādām, ka iebildums bija vērsts uz to daļu, kas paredzētu, ka Komisijas iesniegtais aprēķins par ieguldītājiem veiktajām izmaksām izmaksāto kompensāciju apmērā </w:t>
      </w:r>
      <w:r>
        <w:rPr>
          <w:rFonts w:ascii="Times New Roman" w:hAnsi="Times New Roman" w:cs="Times New Roman"/>
          <w:u w:val="single"/>
        </w:rPr>
        <w:t>ir uzskatāms</w:t>
      </w:r>
      <w:r>
        <w:rPr>
          <w:rFonts w:ascii="Times New Roman" w:hAnsi="Times New Roman" w:cs="Times New Roman"/>
        </w:rPr>
        <w:t xml:space="preserve"> par kreditora prasību. Taču Finanšu ministrijas sniegtais skaidrojums ir par kreditoru prasījumu segšanas kārtību, kas, kā jau minēts, nav Tieslietu ministrijas iebilduma objekts. Detalizēti neatkārtojot iepriekš jau sniegto argumentāciju, uzsveram, ka kreditoru prasījumu atzīšanas kārtība ir būtisks maksātnespējas procesa pamatjautājums. Neviens kreditora prasījums automātiski nekļūst par kreditora prasījumu maksātnespējas procesā, ja procesa vadītājs – maksātnespējas procesa administrators – nav veicis visas nepieciešamās darbības, lai pārliecinātos par prasījuma pamatotību, attiecināmību un citiem tā elementiem.</w:t>
      </w:r>
    </w:p>
    <w:p w:rsidR="008E16D6" w:rsidRDefault="008E16D6" w:rsidP="008E16D6">
      <w:pPr>
        <w:ind w:firstLine="567"/>
        <w:jc w:val="both"/>
        <w:rPr>
          <w:rFonts w:ascii="Times New Roman" w:hAnsi="Times New Roman" w:cs="Times New Roman"/>
        </w:rPr>
      </w:pPr>
    </w:p>
    <w:p w:rsidR="008E16D6" w:rsidRDefault="008E16D6" w:rsidP="008E16D6">
      <w:pPr>
        <w:ind w:firstLine="567"/>
        <w:jc w:val="both"/>
        <w:rPr>
          <w:rFonts w:ascii="Times New Roman" w:hAnsi="Times New Roman" w:cs="Times New Roman"/>
          <w:lang w:eastAsia="lv-LV"/>
        </w:rPr>
      </w:pPr>
      <w:r>
        <w:rPr>
          <w:rFonts w:ascii="Times New Roman" w:hAnsi="Times New Roman" w:cs="Times New Roman"/>
        </w:rPr>
        <w:t xml:space="preserve">23. Tieslietu ministrija uztur iebildumu par likumprojekta 76. panta otro daļu. Norādām, ka tad, ja </w:t>
      </w:r>
      <w:r>
        <w:rPr>
          <w:rFonts w:ascii="Times New Roman" w:hAnsi="Times New Roman" w:cs="Times New Roman"/>
          <w:lang w:eastAsia="lv-LV"/>
        </w:rPr>
        <w:t>komercsabiedrības likvidācijas gaitā atklājas, ka likvidējamās komercsabiedrības mantas nepietiek, lai apmierinātu visus pamatotos kreditoru prasījumus, Komerclikuma 323. pants paredz likvidatora pienākumu iesniegt maksātnespējas procesa pieteikumu likumā noteiktajā kārtībā. Līdz ar to nav iespējama situācija, kad likvidācijas procesa laikā kreditora prasījums netiek apmierināts vai tiek apmierināts daļēji. Ievērojot minēto, lūdzam precizēt likumprojektu, neattiecinot 76. panta otro daļu uz ieguldījumu brokeru sabiedrības likvidācijas procesu.</w:t>
      </w:r>
    </w:p>
    <w:p w:rsidR="008E16D6" w:rsidRDefault="008E16D6" w:rsidP="008E16D6">
      <w:pPr>
        <w:ind w:firstLine="567"/>
        <w:jc w:val="both"/>
        <w:rPr>
          <w:rFonts w:ascii="Times New Roman" w:hAnsi="Times New Roman" w:cs="Times New Roman"/>
          <w:lang w:eastAsia="lv-LV"/>
        </w:rPr>
      </w:pP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lang w:eastAsia="lv-LV"/>
        </w:rPr>
        <w:t xml:space="preserve">24. </w:t>
      </w:r>
      <w:r>
        <w:rPr>
          <w:rFonts w:ascii="Times New Roman" w:hAnsi="Times New Roman" w:cs="Times New Roman"/>
        </w:rPr>
        <w:t>Tieslietu ministrija uztur iebildumu par likumprojekta 76. panta trešo daļu turpmāk norādīto apsvērumu dēļ. Likumprojekta 76. pantā tiek pārņemtas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Pamatdirektīva) 108. pantu, kā tas grozīts ar Eiropas Parlamenta un Padomes 2017. gada 12. decembra direktīvu (ES) 2017/2399, ar ko groza Direktīvu 2014/59/ES attiecībā uz nenodrošinātu parāda instrumentu prioritāti maksātnespējas hierarhijā (turpmāk – 2017. gada direktīva). 2017. gada direktīva pilnībā aizstāj Pamatdirektīvas 108. pantu. Turpmāk šajā iebildumā atsauces uz “108. pantu” nozīmē 108. panta redakciju pēc 2017. gada direktīvas, ja vien nav īpaši norādīts citādi.</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Eiropas Parlamenta un Padomes 2019. gada 27. novembra direktīva Nr. 2019/2034 par ieguldījumu brokeru sabiedrību prudenciālo uzraudzību un ar ko groza Direktīvas 2002/87/EK, 2009/65/EK, 2011/61/ES, 2013/36/ES, 2014/59/ES un 2014/65/ES (turpmāk – 2019. gada direktīva) neskar 108. pantā minēto regulējumu par prioritāti maksātnespējas hierarhijā, līdz ar to likumprojekta 76. panta sakarā nav pamata runāt par 2019. gada direktīvas pārņemšanu. Šajā kontekstā ierosinām precizēt likumprojekta anotācijas I sadaļā minēto likumprojekta būtības skaidrojumu, norādot, ka tiek pārņemtas ne tikai 2019. gada direktīvas, bet arī 2017. gada direktīvas normas.</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Saskaņā ar Finanšu ministrijas skaidrojumā norādīto, līdz šim 108. pants pārņemts ar 2019. gada grozījumiem Finanšu instrumentu tirgus likumā (154. panta trešā un ceturtā daļa).</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 xml:space="preserve">Šobrīd saskaņā ar likumprojekta anotācijā (I sadaļā) norādīto Finanšu ministrija “pārceļ” regulējumu par ieguldījumu brokeru savienībām no Finanšu instrumentu tirgus likuma (turpmāk – FITL) uz likumprojektu. FITL grozījumu likumprojektā ir iekļauta norma, kas izslēdz FITL 154. pantu, ar kuru līdz šim bija pārņemts 108. pants. Atbilstoši, likumprojektā </w:t>
      </w:r>
      <w:r>
        <w:rPr>
          <w:rFonts w:ascii="Times New Roman" w:hAnsi="Times New Roman" w:cs="Times New Roman"/>
        </w:rPr>
        <w:lastRenderedPageBreak/>
        <w:t>iekļauts 76. pants. Likumprojekta 76. panta trešā un ceturtā daļa ir identiska līdzšinējā FITL 154. panta trešajai un ceturtajai daļai, un tādējādi Tieslietu ministrijas ieskatā jau iepriekš 108. pants ir ticis pārņemts nepilnīgi.</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 xml:space="preserve">Šajā saistībā norādām, ka neraugoties uz to, ka 108. panta pārņemšana ir notificēta Eiropas Savienībai un līdz šim, acīmredzot, komentāri no Eiropas Komisijas par pārņemšanas korektumu nav saņemti, gadījumā, ja Latvija pati konstatē, ka kāda direktīvas prasība pārņemta nepilnīgi, šī nepilnība ir jākoriģē. Nav pamatoti atsaukties (kā norādīts izziņā) uz to, ka savulaik 108. pants ir pārņemts šādi, notificēts Eiropas Savienībai un līdz ar to šī norma ir akmenī cirsta un saturiski vairs nav maināma. Ņemot vērā, ka FITL 154. pants tiek izslēgts un pārnests uz likumprojektu, šis ir ļoti piemērots brīdis, lai panāktu atbilstību direktīvām. </w:t>
      </w:r>
    </w:p>
    <w:p w:rsidR="008E16D6" w:rsidRDefault="008E16D6" w:rsidP="008E16D6">
      <w:pPr>
        <w:spacing w:after="120"/>
        <w:ind w:firstLine="567"/>
        <w:jc w:val="both"/>
        <w:rPr>
          <w:rFonts w:ascii="Times New Roman" w:hAnsi="Times New Roman" w:cs="Times New Roman"/>
        </w:rPr>
      </w:pPr>
      <w:r>
        <w:rPr>
          <w:rFonts w:ascii="Times New Roman" w:hAnsi="Times New Roman" w:cs="Times New Roman"/>
        </w:rPr>
        <w:t>Turklāt, ņemot vērā arī to, ka no FITL tiek izslēgtas tiesību normas, kurās savulaik tika pārņemts 108. pants, nepieciešams papildināt likumprojekta anotācijas V sadaļas 1. tabulu ar informāciju par 2017. gada direktīvas normu pārņemšanu likumprojektā (šobrīd anotācijas V sadaļa aptver tikai 2019. gada direktīvas pārņemšanu). Tāpat mūsu ieskatā pēc likumprojekta pieņemšanas 2019. gada direktīvas pārņemšana atkārtoti jānotificē ES, jo līdzšinējā notifikācija par FITL pēc tā 154. panta izslēgšanas vairs nebūs korekta.</w:t>
      </w:r>
    </w:p>
    <w:p w:rsidR="008E16D6" w:rsidRDefault="008E16D6" w:rsidP="008E16D6">
      <w:pPr>
        <w:spacing w:after="120"/>
        <w:ind w:firstLine="567"/>
        <w:jc w:val="both"/>
        <w:rPr>
          <w:rFonts w:ascii="Times New Roman" w:hAnsi="Times New Roman" w:cs="Times New Roman"/>
          <w:lang w:eastAsia="lv-LV"/>
        </w:rPr>
      </w:pPr>
    </w:p>
    <w:p w:rsidR="008E16D6" w:rsidRDefault="008E16D6" w:rsidP="008E16D6">
      <w:pPr>
        <w:jc w:val="both"/>
        <w:rPr>
          <w:rFonts w:ascii="Times New Roman" w:hAnsi="Times New Roman" w:cs="Times New Roman"/>
          <w:sz w:val="16"/>
          <w:szCs w:val="16"/>
        </w:rPr>
      </w:pPr>
      <w:r>
        <w:rPr>
          <w:rFonts w:ascii="Times New Roman" w:hAnsi="Times New Roman" w:cs="Times New Roman"/>
          <w:sz w:val="16"/>
          <w:szCs w:val="16"/>
          <w:vertAlign w:val="superscript"/>
        </w:rPr>
        <w:t>[1]</w:t>
      </w:r>
      <w:r>
        <w:rPr>
          <w:rFonts w:ascii="Times New Roman" w:hAnsi="Times New Roman" w:cs="Times New Roman"/>
          <w:sz w:val="16"/>
          <w:szCs w:val="16"/>
        </w:rPr>
        <w:t xml:space="preserve"> Sk. Satversmes tiesas 2019. gada 5. decembra sprieduma lietā Nr. 2019-01-01 19.2. punktu.</w:t>
      </w:r>
    </w:p>
    <w:p w:rsidR="008E16D6" w:rsidRDefault="008E16D6" w:rsidP="008E16D6">
      <w:pPr>
        <w:jc w:val="both"/>
        <w:rPr>
          <w:rFonts w:ascii="Times New Roman" w:hAnsi="Times New Roman" w:cs="Times New Roman"/>
          <w:sz w:val="16"/>
          <w:szCs w:val="16"/>
        </w:rPr>
      </w:pPr>
      <w:r>
        <w:rPr>
          <w:rFonts w:ascii="Times New Roman" w:hAnsi="Times New Roman" w:cs="Times New Roman"/>
          <w:sz w:val="16"/>
          <w:szCs w:val="16"/>
          <w:vertAlign w:val="superscript"/>
        </w:rPr>
        <w:t>2</w:t>
      </w:r>
      <w:r>
        <w:rPr>
          <w:rFonts w:ascii="Times New Roman" w:hAnsi="Times New Roman" w:cs="Times New Roman"/>
          <w:sz w:val="16"/>
          <w:szCs w:val="16"/>
        </w:rPr>
        <w:t xml:space="preserve"> Sk. Satversmes tiesas 2020. gada 17. decembra spriedumu lietā Nr.2020-18-01 23.2. punktu.</w:t>
      </w:r>
    </w:p>
    <w:p w:rsidR="008E16D6" w:rsidRDefault="008E16D6" w:rsidP="008E16D6">
      <w:pPr>
        <w:jc w:val="both"/>
        <w:rPr>
          <w:rFonts w:ascii="Times New Roman" w:hAnsi="Times New Roman" w:cs="Times New Roman"/>
          <w:sz w:val="16"/>
          <w:szCs w:val="16"/>
        </w:rPr>
      </w:pPr>
      <w:r>
        <w:rPr>
          <w:rFonts w:ascii="Times New Roman" w:hAnsi="Times New Roman" w:cs="Times New Roman"/>
          <w:sz w:val="16"/>
          <w:szCs w:val="16"/>
          <w:vertAlign w:val="superscript"/>
        </w:rPr>
        <w:t>3</w:t>
      </w:r>
      <w:r>
        <w:rPr>
          <w:rFonts w:ascii="Times New Roman" w:hAnsi="Times New Roman" w:cs="Times New Roman"/>
          <w:sz w:val="16"/>
          <w:szCs w:val="16"/>
        </w:rPr>
        <w:t xml:space="preserve"> Turpat, 24. punkts. </w:t>
      </w:r>
    </w:p>
    <w:p w:rsidR="008E16D6" w:rsidRDefault="008E16D6" w:rsidP="008E16D6">
      <w:pPr>
        <w:jc w:val="both"/>
        <w:rPr>
          <w:rFonts w:ascii="Times New Roman" w:hAnsi="Times New Roman" w:cs="Times New Roman"/>
          <w:i/>
          <w:iCs/>
          <w:sz w:val="16"/>
          <w:szCs w:val="16"/>
        </w:rPr>
      </w:pPr>
      <w:r>
        <w:rPr>
          <w:rFonts w:ascii="Times New Roman" w:hAnsi="Times New Roman" w:cs="Times New Roman"/>
          <w:sz w:val="16"/>
          <w:szCs w:val="16"/>
          <w:vertAlign w:val="superscript"/>
        </w:rPr>
        <w:t>4</w:t>
      </w:r>
      <w:r>
        <w:rPr>
          <w:rFonts w:ascii="Times New Roman" w:hAnsi="Times New Roman" w:cs="Times New Roman"/>
          <w:sz w:val="16"/>
          <w:szCs w:val="16"/>
        </w:rPr>
        <w:t xml:space="preserve"> Sk., piemēram, Izglītības likuma 50. panta pirmās daļas 1. punktā paredzēto izņēmumu: “</w:t>
      </w:r>
      <w:r>
        <w:rPr>
          <w:rFonts w:ascii="Times New Roman" w:hAnsi="Times New Roman" w:cs="Times New Roman"/>
          <w:i/>
          <w:iCs/>
          <w:sz w:val="16"/>
          <w:szCs w:val="16"/>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p w:rsidR="008E16D6" w:rsidRDefault="008E16D6" w:rsidP="008E16D6">
      <w:pPr>
        <w:jc w:val="both"/>
        <w:rPr>
          <w:rFonts w:ascii="Times New Roman" w:hAnsi="Times New Roman" w:cs="Times New Roman"/>
          <w:sz w:val="16"/>
          <w:szCs w:val="16"/>
          <w:lang w:eastAsia="lv-LV"/>
        </w:rPr>
      </w:pPr>
      <w:r>
        <w:rPr>
          <w:rStyle w:val="Vresatsauce"/>
          <w:rFonts w:ascii="Times New Roman" w:hAnsi="Times New Roman" w:cs="Times New Roman"/>
          <w:sz w:val="16"/>
          <w:szCs w:val="16"/>
        </w:rPr>
        <w:t>5</w:t>
      </w:r>
      <w:r>
        <w:rPr>
          <w:rFonts w:ascii="Times New Roman" w:hAnsi="Times New Roman" w:cs="Times New Roman"/>
          <w:sz w:val="16"/>
          <w:szCs w:val="16"/>
        </w:rPr>
        <w:t xml:space="preserve"> Sk. Augstākās tiesas Civillietu departamenta 2019. gada 11. oktobra sprieduma lietā Nr. C73356619, SKC- 1374/2019 7. punktu.</w:t>
      </w:r>
    </w:p>
    <w:p w:rsidR="008E16D6" w:rsidRDefault="008E16D6" w:rsidP="008E16D6">
      <w:pPr>
        <w:ind w:firstLine="567"/>
        <w:jc w:val="both"/>
        <w:rPr>
          <w:rFonts w:ascii="Times New Roman" w:hAnsi="Times New Roman" w:cs="Times New Roman"/>
        </w:rPr>
      </w:pPr>
    </w:p>
    <w:p w:rsidR="008E16D6" w:rsidRDefault="008E16D6" w:rsidP="008E16D6">
      <w:pPr>
        <w:rPr>
          <w:rFonts w:ascii="Arial" w:hAnsi="Arial" w:cs="Arial"/>
          <w:sz w:val="20"/>
          <w:szCs w:val="20"/>
          <w:lang w:eastAsia="lv-LV"/>
        </w:rPr>
      </w:pPr>
    </w:p>
    <w:p w:rsidR="008E16D6" w:rsidRDefault="008E16D6" w:rsidP="008E16D6">
      <w:pPr>
        <w:rPr>
          <w:rFonts w:ascii="Arial" w:hAnsi="Arial" w:cs="Arial"/>
          <w:color w:val="201F1E"/>
          <w:sz w:val="20"/>
          <w:szCs w:val="20"/>
          <w:bdr w:val="none" w:sz="0" w:space="0" w:color="auto" w:frame="1"/>
          <w:shd w:val="clear" w:color="auto" w:fill="FFFFFF"/>
          <w:lang w:val="en-US" w:eastAsia="lv-LV"/>
        </w:rPr>
      </w:pPr>
      <w:r w:rsidRPr="008E16D6">
        <w:rPr>
          <w:rFonts w:ascii="Arial" w:hAnsi="Arial" w:cs="Arial"/>
          <w:i/>
          <w:iCs/>
          <w:color w:val="201F1E"/>
          <w:sz w:val="20"/>
          <w:szCs w:val="20"/>
          <w:bdr w:val="none" w:sz="0" w:space="0" w:color="auto" w:frame="1"/>
          <w:shd w:val="clear" w:color="auto" w:fill="FFFFFF"/>
          <w:lang w:eastAsia="lv-LV"/>
        </w:rPr>
        <w:t>Ar cieņu</w:t>
      </w:r>
      <w:r w:rsidRPr="008E16D6">
        <w:rPr>
          <w:rFonts w:ascii="Arial" w:hAnsi="Arial" w:cs="Arial"/>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 </w:t>
      </w:r>
      <w:r w:rsidRPr="008E16D6">
        <w:rPr>
          <w:rFonts w:ascii="Tahoma" w:hAnsi="Tahoma" w:cs="Tahoma"/>
          <w:color w:val="201F1E"/>
          <w:sz w:val="20"/>
          <w:szCs w:val="20"/>
          <w:lang w:eastAsia="lv-LV"/>
        </w:rPr>
        <w:br/>
      </w:r>
      <w:r w:rsidRPr="008E16D6">
        <w:rPr>
          <w:rFonts w:ascii="Arial" w:hAnsi="Arial" w:cs="Arial"/>
          <w:b/>
          <w:bCs/>
          <w:color w:val="201F1E"/>
          <w:sz w:val="20"/>
          <w:szCs w:val="20"/>
          <w:bdr w:val="none" w:sz="0" w:space="0" w:color="auto" w:frame="1"/>
          <w:shd w:val="clear" w:color="auto" w:fill="FFFFFF"/>
          <w:lang w:eastAsia="lv-LV"/>
        </w:rPr>
        <w:t>Gita Daukste</w:t>
      </w:r>
      <w:r w:rsidRPr="008E16D6">
        <w:rPr>
          <w:rFonts w:ascii="Tahoma" w:hAnsi="Tahoma" w:cs="Tahoma"/>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Tieslietu ministrijas</w:t>
      </w:r>
      <w:r w:rsidRPr="008E16D6">
        <w:rPr>
          <w:rFonts w:ascii="Tahoma" w:hAnsi="Tahoma" w:cs="Tahoma"/>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Civiltiesību departamenta</w:t>
      </w:r>
      <w:r w:rsidRPr="008E16D6">
        <w:rPr>
          <w:rFonts w:ascii="Tahoma" w:hAnsi="Tahoma" w:cs="Tahoma"/>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Komerctiesību nodaļas juriste</w:t>
      </w:r>
      <w:r w:rsidRPr="008E16D6">
        <w:rPr>
          <w:rFonts w:ascii="Tahoma" w:hAnsi="Tahoma" w:cs="Tahoma"/>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Tālr. 67036795</w:t>
      </w:r>
      <w:r w:rsidRPr="008E16D6">
        <w:rPr>
          <w:rFonts w:ascii="Tahoma" w:hAnsi="Tahoma" w:cs="Tahoma"/>
          <w:color w:val="201F1E"/>
          <w:sz w:val="20"/>
          <w:szCs w:val="20"/>
          <w:lang w:eastAsia="lv-LV"/>
        </w:rPr>
        <w:br/>
      </w:r>
      <w:r w:rsidRPr="008E16D6">
        <w:rPr>
          <w:rFonts w:ascii="Arial" w:hAnsi="Arial" w:cs="Arial"/>
          <w:color w:val="201F1E"/>
          <w:sz w:val="20"/>
          <w:szCs w:val="20"/>
          <w:bdr w:val="none" w:sz="0" w:space="0" w:color="auto" w:frame="1"/>
          <w:shd w:val="clear" w:color="auto" w:fill="FFFFFF"/>
          <w:lang w:eastAsia="lv-LV"/>
        </w:rPr>
        <w:t>Atrašanās vieta: Raiņa bulvārī 15, Rīgā, LV-1050.</w:t>
      </w:r>
      <w:r w:rsidRPr="008E16D6">
        <w:rPr>
          <w:rFonts w:ascii="Tahoma" w:hAnsi="Tahoma" w:cs="Tahoma"/>
          <w:color w:val="201F1E"/>
          <w:sz w:val="20"/>
          <w:szCs w:val="20"/>
          <w:lang w:eastAsia="lv-LV"/>
        </w:rPr>
        <w:br/>
      </w:r>
      <w:r>
        <w:rPr>
          <w:rFonts w:ascii="Arial" w:hAnsi="Arial" w:cs="Arial"/>
          <w:color w:val="201F1E"/>
          <w:sz w:val="20"/>
          <w:szCs w:val="20"/>
          <w:bdr w:val="none" w:sz="0" w:space="0" w:color="auto" w:frame="1"/>
          <w:shd w:val="clear" w:color="auto" w:fill="FFFFFF"/>
          <w:lang w:val="en-US" w:eastAsia="lv-LV"/>
        </w:rPr>
        <w:t>Juridiskā adrese: Brīvības bulvārī 36, Rīgā, LV-1536.</w:t>
      </w:r>
    </w:p>
    <w:p w:rsidR="008E16D6" w:rsidRDefault="008E16D6" w:rsidP="008E16D6">
      <w:pPr>
        <w:rPr>
          <w:rFonts w:ascii="Arial" w:hAnsi="Arial" w:cs="Arial"/>
          <w:color w:val="201F1E"/>
          <w:sz w:val="4"/>
          <w:szCs w:val="4"/>
          <w:bdr w:val="none" w:sz="0" w:space="0" w:color="auto" w:frame="1"/>
          <w:shd w:val="clear" w:color="auto" w:fill="FFFFFF"/>
          <w:lang w:val="en-US" w:eastAsia="lv-LV"/>
        </w:rPr>
      </w:pPr>
    </w:p>
    <w:p w:rsidR="008E16D6" w:rsidRDefault="008E16D6" w:rsidP="008E16D6">
      <w:pPr>
        <w:rPr>
          <w:rFonts w:ascii="Arial" w:hAnsi="Arial" w:cs="Arial"/>
          <w:sz w:val="20"/>
          <w:szCs w:val="20"/>
          <w:lang w:val="en-US" w:eastAsia="lv-LV"/>
        </w:rPr>
      </w:pPr>
      <w:r>
        <w:rPr>
          <w:rFonts w:ascii="Arial" w:hAnsi="Arial" w:cs="Arial"/>
          <w:noProof/>
          <w:sz w:val="20"/>
          <w:szCs w:val="20"/>
          <w:lang w:eastAsia="lv-LV"/>
        </w:rPr>
        <w:drawing>
          <wp:inline distT="0" distB="0" distL="0" distR="0">
            <wp:extent cx="1257300" cy="990600"/>
            <wp:effectExtent l="0" t="0" r="0" b="0"/>
            <wp:docPr id="1" name="Picture 1" descr="cid:image002.png@01D74653.AED5B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74653.AED5B53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8E16D6" w:rsidRDefault="008E16D6" w:rsidP="008E16D6">
      <w:bookmarkStart w:id="1" w:name="_GoBack"/>
      <w:bookmarkEnd w:id="1"/>
    </w:p>
    <w:sectPr w:rsidR="008E16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A67" w:rsidRDefault="00B02A67" w:rsidP="008E16D6">
      <w:pPr>
        <w:spacing w:after="0" w:line="240" w:lineRule="auto"/>
      </w:pPr>
      <w:r>
        <w:separator/>
      </w:r>
    </w:p>
  </w:endnote>
  <w:endnote w:type="continuationSeparator" w:id="0">
    <w:p w:rsidR="00B02A67" w:rsidRDefault="00B02A67" w:rsidP="008E1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A67" w:rsidRDefault="00B02A67" w:rsidP="008E16D6">
      <w:pPr>
        <w:spacing w:after="0" w:line="240" w:lineRule="auto"/>
      </w:pPr>
      <w:r>
        <w:separator/>
      </w:r>
    </w:p>
  </w:footnote>
  <w:footnote w:type="continuationSeparator" w:id="0">
    <w:p w:rsidR="00B02A67" w:rsidRDefault="00B02A67" w:rsidP="008E16D6">
      <w:pPr>
        <w:spacing w:after="0" w:line="240" w:lineRule="auto"/>
      </w:pPr>
      <w:r>
        <w:continuationSeparator/>
      </w:r>
    </w:p>
  </w:footnote>
  <w:footnote w:id="1">
    <w:p w:rsidR="008E16D6" w:rsidRDefault="008E16D6" w:rsidP="008E16D6">
      <w:pPr>
        <w:pStyle w:val="FootnoteText"/>
      </w:pPr>
      <w:r>
        <w:rPr>
          <w:rStyle w:val="Vresatsauce"/>
        </w:rPr>
        <w:t>[1]</w:t>
      </w:r>
      <w:r>
        <w:t xml:space="preserve"> Sk. Satversmes tiesas 2019. gada 5. decembra sprieduma lietā Nr. 2019-01-01 19.2. punktu.</w:t>
      </w:r>
    </w:p>
  </w:footnote>
  <w:footnote w:id="2">
    <w:p w:rsidR="008E16D6" w:rsidRDefault="008E16D6" w:rsidP="008E16D6">
      <w:pPr>
        <w:pStyle w:val="FootnoteText"/>
      </w:pPr>
      <w:r>
        <w:rPr>
          <w:rStyle w:val="Vresatsauce"/>
        </w:rPr>
        <w:t>[2]</w:t>
      </w:r>
      <w:r>
        <w:t xml:space="preserve"> Sk. Satversmes tiesas 2020. gada 17. decembra spriedumu lietā Nr.2020-18-01 23.2. punktu.</w:t>
      </w:r>
    </w:p>
  </w:footnote>
  <w:footnote w:id="3">
    <w:p w:rsidR="008E16D6" w:rsidRDefault="008E16D6" w:rsidP="008E16D6">
      <w:pPr>
        <w:pStyle w:val="FootnoteText"/>
      </w:pPr>
      <w:r>
        <w:rPr>
          <w:rStyle w:val="Vresatsauce"/>
        </w:rPr>
        <w:t>[3]</w:t>
      </w:r>
      <w:r>
        <w:t xml:space="preserve"> Turpat, 24. punkts. </w:t>
      </w:r>
    </w:p>
  </w:footnote>
  <w:footnote w:id="4">
    <w:p w:rsidR="008E16D6" w:rsidRDefault="008E16D6" w:rsidP="008E16D6">
      <w:pPr>
        <w:pStyle w:val="FootnoteText"/>
      </w:pPr>
      <w:r>
        <w:rPr>
          <w:rStyle w:val="Vresatsauce"/>
        </w:rPr>
        <w:t>[4]</w:t>
      </w:r>
      <w:r>
        <w:t xml:space="preserve"> Sk., piemēram, Izglītības likuma 50. panta pirmās daļas 1. punktā paredzēto izņēmumu: “</w:t>
      </w:r>
      <w:r>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5">
    <w:p w:rsidR="008E16D6" w:rsidRDefault="008E16D6" w:rsidP="008E16D6">
      <w:pPr>
        <w:pStyle w:val="FootnoteText"/>
      </w:pPr>
      <w:r>
        <w:rPr>
          <w:rStyle w:val="Vresatsauce"/>
        </w:rPr>
        <w:t>[5]</w:t>
      </w:r>
      <w:r>
        <w:t xml:space="preserve"> Sk. Augstākās tiesas Civillietu departamenta 2019. gada 11. oktobra sprieduma lietā Nr. C73356619, SKC- 1374/2019 7. punktu.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6D6"/>
    <w:rsid w:val="008E16D6"/>
    <w:rsid w:val="00AF50C1"/>
    <w:rsid w:val="00B02A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B080"/>
  <w15:chartTrackingRefBased/>
  <w15:docId w15:val="{6C46ACA8-B8F7-48D5-8676-69F74AB8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6D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16D6"/>
    <w:rPr>
      <w:color w:val="0563C1" w:themeColor="hyperlink"/>
      <w:u w:val="single"/>
    </w:rPr>
  </w:style>
  <w:style w:type="paragraph" w:styleId="NormalWeb">
    <w:name w:val="Normal (Web)"/>
    <w:basedOn w:val="Normal"/>
    <w:uiPriority w:val="99"/>
    <w:semiHidden/>
    <w:unhideWhenUsed/>
    <w:rsid w:val="008E16D6"/>
    <w:pPr>
      <w:spacing w:before="100" w:beforeAutospacing="1" w:after="100" w:afterAutospacing="1" w:line="240" w:lineRule="auto"/>
    </w:pPr>
    <w:rPr>
      <w:rFonts w:ascii="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8E16D6"/>
    <w:pPr>
      <w:spacing w:after="0" w:line="240" w:lineRule="auto"/>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8E16D6"/>
    <w:rPr>
      <w:rFonts w:ascii="Times New Roman" w:hAnsi="Times New Roman" w:cs="Times New Roman"/>
      <w:sz w:val="20"/>
      <w:szCs w:val="20"/>
    </w:rPr>
  </w:style>
  <w:style w:type="paragraph" w:styleId="NoSpacing">
    <w:name w:val="No Spacing"/>
    <w:basedOn w:val="Normal"/>
    <w:uiPriority w:val="1"/>
    <w:qFormat/>
    <w:rsid w:val="008E16D6"/>
    <w:pPr>
      <w:spacing w:after="0" w:line="240" w:lineRule="auto"/>
    </w:pPr>
    <w:rPr>
      <w:rFonts w:ascii="Times New Roman" w:hAnsi="Times New Roman" w:cs="Times New Roman"/>
      <w:sz w:val="24"/>
      <w:szCs w:val="24"/>
    </w:rPr>
  </w:style>
  <w:style w:type="character" w:customStyle="1" w:styleId="Vresatsauce">
    <w:name w:val="Vēres atsau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rsid w:val="008E16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869614">
      <w:bodyDiv w:val="1"/>
      <w:marLeft w:val="0"/>
      <w:marRight w:val="0"/>
      <w:marTop w:val="0"/>
      <w:marBottom w:val="0"/>
      <w:divBdr>
        <w:top w:val="none" w:sz="0" w:space="0" w:color="auto"/>
        <w:left w:val="none" w:sz="0" w:space="0" w:color="auto"/>
        <w:bottom w:val="none" w:sz="0" w:space="0" w:color="auto"/>
        <w:right w:val="none" w:sz="0" w:space="0" w:color="auto"/>
      </w:divBdr>
    </w:div>
    <w:div w:id="205071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hyperlink" Target="mailto:Kintija.Bajare-Grinberga@tm.gov.lv"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ivis.hammers@fm.gov.lv" TargetMode="External"/><Relationship Id="rId12" Type="http://schemas.openxmlformats.org/officeDocument/2006/relationships/hyperlink" Target="mailto:Linda.Strazdina@tm.gov.lv"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cid:image002.png@01D74653.AED5B530" TargetMode="External"/><Relationship Id="rId1" Type="http://schemas.openxmlformats.org/officeDocument/2006/relationships/styles" Target="styles.xml"/><Relationship Id="rId6" Type="http://schemas.openxmlformats.org/officeDocument/2006/relationships/hyperlink" Target="mailto:Beate.Gusarova@tm.gov.lv" TargetMode="External"/><Relationship Id="rId11" Type="http://schemas.openxmlformats.org/officeDocument/2006/relationships/hyperlink" Target="mailto:egita.skibele@fm.gov.lv" TargetMode="External"/><Relationship Id="rId5" Type="http://schemas.openxmlformats.org/officeDocument/2006/relationships/endnotes" Target="endnotes.xml"/><Relationship Id="rId15" Type="http://schemas.openxmlformats.org/officeDocument/2006/relationships/image" Target="media/image1.png"/><Relationship Id="rId10" Type="http://schemas.openxmlformats.org/officeDocument/2006/relationships/hyperlink" Target="mailto:Baiba.Lielkalne@TM.GOV.LV" TargetMode="External"/><Relationship Id="rId4" Type="http://schemas.openxmlformats.org/officeDocument/2006/relationships/footnotes" Target="footnotes.xml"/><Relationship Id="rId9" Type="http://schemas.openxmlformats.org/officeDocument/2006/relationships/hyperlink" Target="mailto:Pasts@fm.gov.lv" TargetMode="External"/><Relationship Id="rId14" Type="http://schemas.openxmlformats.org/officeDocument/2006/relationships/hyperlink" Target="https://info.ur.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29201</Words>
  <Characters>16646</Characters>
  <Application>Microsoft Office Word</Application>
  <DocSecurity>0</DocSecurity>
  <Lines>138</Lines>
  <Paragraphs>91</Paragraphs>
  <ScaleCrop>false</ScaleCrop>
  <Company/>
  <LinksUpToDate>false</LinksUpToDate>
  <CharactersWithSpaces>45756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1</cp:revision>
  <dcterms:created xsi:type="dcterms:W3CDTF">2021-05-12T07:25:00Z</dcterms:created>
  <dcterms:modified xsi:type="dcterms:W3CDTF">2021-05-12T07:27:00Z</dcterms:modified>
</cp:coreProperties>
</file>