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starpiestāžu sarunās panākto vienošanos, ka MK noteikumu  17.punkta redakcija neierobežo Lauku atbalsta dienesta iespējas nākotnē sniegt pakalpojumus arī citām valsts pārvaldes iestādēm, ne tikai Zemkopības ministrijas resoram, paredzētā finansējuma un pieejamo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noteikumu17.punkta redakcija neierobežo Lauku atbalsta dienesta iespējas nākotnē sniegt pakalpojumus arī citām valsts pārvaldes iestādēm, ne tikai Zemkopības ministrijas resoram, paredzētā finansējuma un pieejamo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25.02.2025. 08.48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25.02.2025. 08.48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Atzinumi_24-TA-2911.docx</dc:title>
</cp:coreProperties>
</file>

<file path=docProps/custom.xml><?xml version="1.0" encoding="utf-8"?>
<Properties xmlns="http://schemas.openxmlformats.org/officeDocument/2006/custom-properties" xmlns:vt="http://schemas.openxmlformats.org/officeDocument/2006/docPropsVTypes"/>
</file>