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 novembra rīkojumā Nr. 775 "Par ceļu satiksmes pārkāpumu fiksēšanas tehnisko līdzekļu darbības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2. novembra rīkojumā Nr. 775 "Par ceļu satiksmes pārkāpumu fiksēšanas tehnisko līdzekļu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atbilstoši Ministru kabineta 01.10.2024. rīkojumam Nr.784 “Grozījumi Ministru kabineta 2021. gada 2. novembra rīkojumā Nr. 775 “Par ceļu satiksmes pārkāpumu fiksēšanas tehnisko līdzekļu darbības nodrošināšanu”” (turpmāk – MK rīkojums) ieņēmumu no naudas sodiem, ko uzliek Valsts policija par pārkāpumiem ceļu satiksmē, kas fiksēti ar komersanta tehniskajiem līdzekļiem, prognozes 2026. gadam un turpmāk jau tika palielinātas. Izņēmums bija prognozētie ieņēmumi un izdevumi no 2027. gada, kas attiecināmi uz VAS "Ceļu satiksmes drošības direkcija" tehniskajiem līdzekļiem (turpmāk – CSDD tehniskie līdzekļi), un kas atbilstoši MK rīkojuma anotācijā norādītajam, līdz šim nebija prognozēti. Līdz ar to nav atbalstāma papildu ieņēmumu prognozēšana 2026. gadā no jau esošajām ceļu satiksmes pārkāpumu fiksēšanas tehnisko līdzekļu iekārtām, ņemot vērā, ka precizētā Ministru kabineta rīkojuma projekta anotācijas 2. pielikumam papildus pievienotajā 7.2. tabulā ir redzams, ka </w:t>
            </w:r>
            <w:r w:rsidR="00000000" w:rsidRPr="00000000" w:rsidDel="00000000">
              <w:rPr>
                <w:u w:val="single"/>
                <w:rtl w:val="0"/>
              </w:rPr>
              <w:t xml:space="preserve">2026. gadā tehnisko līdzekļu skaits kopumā samazinās par vienu iekārtu</w:t>
            </w:r>
            <w:r w:rsidR="00000000" w:rsidRPr="00000000" w:rsidDel="00000000">
              <w:rPr>
                <w:rtl w:val="0"/>
              </w:rPr>
              <w:t xml:space="preserve">, bet no 2027. gada palielinās par 1 iekārtu gadā, neņemot vērā CSDD tehniskos līdzekļus, kuri turpinās darboties arī pēc 2026. gada. Attiecīgi papildu ieņēmumu prognozēšana būtu atbalstāma tikai attiecībā uz no jauna ieviestajiem ceļu satiksmes pārkāpumu fiksēšanas tehniskajiem līdzekļiem un tiem CSDD tehniskajiem līdzekļiem, kuriem sākot no 2027. gada netika prognozēti ieņēmumi. Savukārt papildu ieņēmumu prognozēšana saistībā ar pārkāpumu skaitu pēc savas būtības nav uzskatāms par diskrecionāru pasākumu, ja prognoze tiek balstīta tikai pamatojoties uz iepriekšējo periodu faktisko izpildi, nevis saistībā ar jaunu tehnisko līdzekļu ieviešanu vai naudas sodu par ceļu satiksmes pārkāpumiem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atbilstoši precizēt Ministru kabineta rīkojuma projektu, tā anotāciju ar pielikumiem un saistīto Ministru kabineta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šī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plānotajam valsts budžeta ieņēmumu palielinājumam atbalstīt Iekšlietu ministrijas priekšlikumus palielināt dotāciju no vispārējiem ieņēmumiem un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MK 13.05.2025. sēdes protokola Nr.19 50.§ “”Informatīvais ziņojums "Plāns efektīvai aizsardzības un drošības finansējuma palielināšanai"” 7. punktu ir uzdots veikt publiskā sektora efektivizācijas un vispārējās valdības izdevumu samazinājumu  ne mazāk kā 450 milj. </w:t>
            </w:r>
            <w:r w:rsidR="00000000" w:rsidRPr="00000000" w:rsidDel="00000000">
              <w:rPr>
                <w:i w:val="1"/>
                <w:rtl w:val="0"/>
              </w:rPr>
              <w:t xml:space="preserve">euro </w:t>
            </w:r>
            <w:r w:rsidR="00000000" w:rsidRPr="00000000" w:rsidDel="00000000">
              <w:rPr>
                <w:rtl w:val="0"/>
              </w:rPr>
              <w:t xml:space="preserve">apmērā 2026.-2028. gadā, tajā skaitā 2026. gadā ne mazāk kā 150 milj. </w:t>
            </w:r>
            <w:r w:rsidR="00000000" w:rsidRPr="00000000" w:rsidDel="00000000">
              <w:rPr>
                <w:i w:val="1"/>
                <w:rtl w:val="0"/>
              </w:rPr>
              <w:t xml:space="preserve">euro </w:t>
            </w:r>
            <w:r w:rsidR="00000000" w:rsidRPr="00000000" w:rsidDel="00000000">
              <w:rPr>
                <w:rtl w:val="0"/>
              </w:rPr>
              <w:t xml:space="preserve">apmērā, līdz ar to nav atbalstāma papildu dotācijas no vispārējiem ieņēmumiem paredzēšana tādiem izdevumiem, kas nav saistīti ar ceļu satiksmes pārkāpumu fiksēšanas tehnisko līdzekļu darbības nodrošināšanu, ņemot vērā, ka transportlīdzekļu braukšanas ātruma kontroles līdzekļu izvietošanas galvenais mērķis ir novērst valstī noteiktā braukšanas ātruma neievērošanas pārkāpumus, tādējādi palielinot ceļu satiksmes drošību valstī kopumā, līdz ar to Ministru kabineta sēdes protokollēmuma projekta 4.1., 4.3., 4.4., 4.5. un 4.6. apakšpunkti ir svītrojami un atbilstoši precizējama Ministru kabineta rīkojuma projekta anotācijas 3. sadaļa un attiecīgie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25-TA-1666</w:t>
    </w:r>
    <w:r>
      <w:br/>
    </w:r>
    <w:r w:rsidR="00000000" w:rsidRPr="00000000" w:rsidDel="00000000">
      <w:rPr>
        <w:rtl w:val="0"/>
      </w:rPr>
      <w:t xml:space="preserve">Izdrukāts 26.08.2025.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25-TA-1666</w:t>
    </w:r>
    <w:r>
      <w:br/>
    </w:r>
    <w:r w:rsidR="00000000" w:rsidRPr="00000000" w:rsidDel="00000000">
      <w:rPr>
        <w:rtl w:val="0"/>
      </w:rPr>
      <w:t xml:space="preserve">Izdrukāts 26.08.2025.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Atzinumi_25-TA-1666.docx</dc:title>
</cp:coreProperties>
</file>

<file path=docProps/custom.xml><?xml version="1.0" encoding="utf-8"?>
<Properties xmlns="http://schemas.openxmlformats.org/officeDocument/2006/custom-properties" xmlns:vt="http://schemas.openxmlformats.org/officeDocument/2006/docPropsVTypes"/>
</file>