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Enerģijas lietotāju apgādes kārtība izsludinātas enerģētiskās krīzes laikā un valsts apdraudējuma gadījumā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tiek lietots termins "augstas prioritātes nozīmīgi elektroenerģijas  tīkla lietotāji", kā arī noteikts, ka minēto lietotāju sarakstu veido elektroenerģijas pārvaldes sistēmas operators sadarbībā ar elektroenerģijas sadales sistēmas operatoriem un par enerģētiku atbildīgo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tiesību normu skaidrību, lūdzam izvērtēt iespēju Noteikumu projektā vai tā anotācijā iekļaut informāciju par minētajiem lietotājiem, piemēram, vai tajos tiek iekļautas ārstniecības iestādes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Raudovs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Šo noteikumu </w:t>
            </w:r>
            <w:r w:rsidR="00000000" w:rsidRPr="00000000" w:rsidDel="00000000">
              <w:rPr>
                <w:rtl w:val="0"/>
              </w:rPr>
              <w:t xml:space="preserve">1.3. </w:t>
            </w:r>
            <w:r w:rsidR="00000000" w:rsidRPr="00000000" w:rsidDel="00000000">
              <w:rPr>
                <w:rtl w:val="0"/>
              </w:rPr>
              <w:t xml:space="preserve">apakšpunktā</w:t>
            </w:r>
            <w:r w:rsidR="00000000" w:rsidRPr="00000000" w:rsidDel="00000000">
              <w:rPr>
                <w:rtl w:val="0"/>
              </w:rPr>
              <w:t xml:space="preserve"> minētajiem subjektiem un augstas prioritātes nozīmīgiem elektroenerģijas tīkla lietotājiem ir pienākums pastāvīgi nodrošināt sev individuālās elektroenerģijas apgādes iespēju, ja valsts apdraudējuma vai valsts enerģētiskās krīzes laikā tiek pārtraukta elektroenerģijas piegāde.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19.punkts paredz, ka Noteikumu projekta 1.3.apakšpunktā minētajiem subjektiem un augstas prioritātes nozīmīgiem elektroenerģijas tīkla lietotājiem ir pienākums pastāvīgi nodrošināt sev individuālās elektroenerģijas apgādes iespēju, ja valsts apdraudējuma vai valsts enerģētiskās krīzes laikā tiek pārtraukta elektroenerģijas  piegāde.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vai minētās tiesību normas īstenošana ietver alternatīvu vai autonomu elektroenerģijas avotu -stacionāro ģeneratoru - iegādi. Lūdzam izvērtēt iespēju noteikt normatīvajā regulējumā stundu skaitu cik ilgi alternatīvajam elektroenerģijas avotam jānodrošina autonomi elektroenerģijas padeve.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Raudovs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Pēc manuālās atslēgšanas vai automātiskas pieprasījuma atslēgšanas procedūras šo noteikumu </w:t>
            </w:r>
            <w:r w:rsidR="00000000" w:rsidRPr="00000000" w:rsidDel="00000000">
              <w:rPr>
                <w:rtl w:val="0"/>
              </w:rPr>
              <w:t xml:space="preserve">1.3. </w:t>
            </w:r>
            <w:r w:rsidR="00000000" w:rsidRPr="00000000" w:rsidDel="00000000">
              <w:rPr>
                <w:rtl w:val="0"/>
              </w:rPr>
              <w:t xml:space="preserve">apakšpunktā</w:t>
            </w:r>
            <w:r w:rsidR="00000000" w:rsidRPr="00000000" w:rsidDel="00000000">
              <w:rPr>
                <w:rtl w:val="0"/>
              </w:rPr>
              <w:t xml:space="preserve"> minētajiem subjektiem un augstas prioritātes nozīmīgiem elektroenerģijas tīkla lietotājiem ir pienākums 12 stundu laikā atjaunot individuālās elektroenerģijas apgādei nepieciešamo kurināmo, ja tāds ir nepieciešams.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20.punkts nosaka, ka pēc manuālās atslēgšanas procedūras šo noteikumu 1.3.apakšpunktā minētajiem subjektiem un augstas prioritātes nozīmīgiem elektroenerģijas tīkla lietotājiem ir pienākums 12  stundu laikā atjaunot individuālās elektroenerģijas apgādei nepieciešamo kurināmo, ja tāds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attiecībā uz Noteikumu projekta 20.punktā minēto pienākumu, lūdzam anotācijā iekļaut informāciju par to, kā minētais varētu tikt nodrošināts, ņemot vērā, ka paredzēta atsevišķa kārtība valsts apdraudējuma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Raudovs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Dabasgāzes sadales sistēmas operators diennakts laikā pēc šo noteikumu </w:t>
            </w:r>
            <w:r w:rsidR="00000000" w:rsidRPr="00000000" w:rsidDel="00000000">
              <w:rPr>
                <w:rtl w:val="0"/>
              </w:rPr>
              <w:t xml:space="preserve">4. </w:t>
            </w:r>
            <w:r w:rsidR="00000000" w:rsidRPr="00000000" w:rsidDel="00000000">
              <w:rPr>
                <w:rtl w:val="0"/>
              </w:rPr>
              <w:t xml:space="preserve">punktā</w:t>
            </w:r>
            <w:r w:rsidR="00000000" w:rsidRPr="00000000" w:rsidDel="00000000">
              <w:rPr>
                <w:rtl w:val="0"/>
              </w:rPr>
              <w:t xml:space="preserve"> minētās informācijas saņemšanas sagatavo un iesniedz Ministrijā informāciju par pirmās, otrās, trešās un ceturtās dabasgāzes lietotāju grupas dabasgāzes diennakts vidējo patēriņu. Diennakts vidējais patēriņš tiek noteikts, balstoties uz dabasgāzes lietotāju gazificētiem objektiem, kuriem ir diennakts dabasgāzes patēriņa uzskaite – no pēdējiem 10 diennakts patēriņa rādītājiem izvēloties astoņus lielākos diennakts patēriņa rādītājus un aprēķinot no tiem vidējo aritmētisko patēriņu. Savukārt dabasgāzes lietotāju gazificētiem objektiem, kuriem nav diennakts dabasgāzes patēriņa uzskaites – nosakot pēdējā mēneša vidējo aritmētisko diennakts patēriņu.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Noteikumu projekta 29.punktā minētās informācijas sagatavošanas termiņu "diennakts laikā" aizstāt ar vārdiem "24 stundu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Noteikumu projekta 29.punktā minētās informācijas sagatavošanas termiņu "diennakts laikā" aizstāt ar vārdiem "24 stundu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Raudovs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anotācijā iekļauta informācija, ka pirmās grupas dabasgāzes lietotāju sarakstā ir iekļauti arī atsevišķi nelieli  komersanti, tai skaitā zobārstu prakses, kuriem atļautā slodze ir mazāka vai vienāda ar 25m3/h un kas neveido būtisku ietekmi uz dabasgāzes patēriņu. Vienlaikus minētajā anotācijas sadaļā nav iekļauta informācija (atbilstoši Noteikumu projekta 22.1.apakšpunktā minētajam), ka pirmajā grupā iekļautas slimnīcas un Neatliekamās medicīniskās palīdzības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anotācijā iekļauto informāciju par pirmās grupas dabasgāzes lietotājiem, papildinot to ar slimnīcām un Neatliekamās medicīniskās palīdzības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anotācijā iekļauta informācija, ka pirmās grupas dabasgāzes lietotāju sarakstā ir iekļauti arī atsevišķi nelieli  komersanti, tai skaitā zobārstu prakses, kuriem atļautā slodze ir mazāka vai vienāda ar 25m3/h un kas neveido būtisku ietekmi uz dabasgāzes patēriņu. Vienlaikus minētajā anotācijas sadaļā nav iekļauta informācija (atbilstoši Noteikumu projekta 22.1.apakšpunktā minētajam), ka pirmajā grupā iekļautas slimnīcas un Neatliekamās medicīniskās palīdzības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anotācijā iekļauto informāciju par pirmās grupas dabasgāzes lietotājiem, papildinot to ar slimnīcām un Neatliekamās medicīniskās palīdzības dienestu.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Raudovs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w:t>
    </w:r>
    <w:r>
      <w:br/>
    </w:r>
    <w:r w:rsidR="00000000" w:rsidRPr="00000000" w:rsidDel="00000000">
      <w:rPr>
        <w:rtl w:val="0"/>
      </w:rPr>
      <w:t xml:space="preserve">Izdrukāts 03.05.2024. 16.21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w:t>
    </w:r>
    <w:r>
      <w:br/>
    </w:r>
    <w:r w:rsidR="00000000" w:rsidRPr="00000000" w:rsidDel="00000000">
      <w:rPr>
        <w:rtl w:val="0"/>
      </w:rPr>
      <w:t xml:space="preserve">Izdrukāts 03.05.2024. 16.21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Atzinumi_24-TA-215.docx</dc:title>
</cp:coreProperties>
</file>

<file path=docProps/custom.xml><?xml version="1.0" encoding="utf-8"?>
<Properties xmlns="http://schemas.openxmlformats.org/officeDocument/2006/custom-properties" xmlns:vt="http://schemas.openxmlformats.org/officeDocument/2006/docPropsVTypes"/>
</file>