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iesniegumu projektu atlases ietvaros var iesniegt par vienu dzīvokļa īpašumu dzīvojamā mājā, vairākiem dzīvokļa īpašumiem dzīvojamā mājā vai par dzīvojamo māju kopumā, ja saskaņā ar normatīvajiem aktiem par būvju klasifikāciju dzīvojamā māja atbilst šādai klasei: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ieskatā, ka 18.- 22.punkti pieļauj iespēju, ka vienas ēkas dažādi dzīvokļi katrs var iesniegt pieteikumu atšķirīgu pasākumu veikšanai, piemēram, vienu pieslēgt centralizētajai siltumapgādei, cits uzstāda siltumsūkni. Ierosinām veikt precizējumu, nosakot, ka vairākdzīvokļu ēka ir viens veselums attiecībā uz apkures sistēmas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13.01.2023. 18.23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13.01.2023. 18.23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Atzinumi_22-TA-2565.docx</dc:title>
</cp:coreProperties>
</file>

<file path=docProps/custom.xml><?xml version="1.0" encoding="utf-8"?>
<Properties xmlns="http://schemas.openxmlformats.org/officeDocument/2006/custom-properties" xmlns:vt="http://schemas.openxmlformats.org/officeDocument/2006/docPropsVTypes"/>
</file>