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w:t>
            </w:r>
            <w:r w:rsidR="00000000" w:rsidRPr="00000000" w:rsidDel="00000000">
              <w:rPr>
                <w:vertAlign w:val="superscript"/>
                <w:rtl w:val="0"/>
              </w:rPr>
              <w:t xml:space="preserve">2</w:t>
            </w:r>
            <w:r w:rsidR="00000000" w:rsidRPr="00000000" w:rsidDel="00000000">
              <w:rPr>
                <w:rtl w:val="0"/>
              </w:rPr>
              <w:t xml:space="preserve"> noslēguma maksājumu atbilstoši šo noteikumu 38.2. apakšpunktā minētam finansējuma apjomam izmaksā nākamajā kalendārajā gadā pēc projekta īstenošanas noslēguma, ja zinātniskās institūcijas projekta noslēguma zinātniskais pārskats un projekta noslēguma finanšu pārskats ir padomē iesniegts un apstiprināts atbilstoši projekta līguma nosacījumiem, bet to iesniegšanas un apstiprināšanas termiņš padomē ir nākamais kalendārais gads pēc projekta īstenošanas noslēguma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gadskārtējā valsts budžeta likumā plānotais finansējums ir izlietojams tajā gadā, kuram tas plānots, sasniedzot attiecīgajā gadā noteiktos mērķus, un saskaņā ar Likuma par budžetu un finanšu vadību 4. pantu saimnieciskais gads sākas 1. janvārī un beidzas 31. decembrī, lūdzam papildināt anotāciju ar skaidrojumu, kā IZM nodrošinās noslēguma maksājumu veikšanu nākamajā kalendārajā gadā nekā paredz Ministru kabineta rīkojums par konkrētās Valsts pētījumu programmas īstenošanu projektiem, kuru īstenošanai finansējums bija plānots iepriekšējā kalendārā gada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17.04.2025.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17.04.2025.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