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6.4.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Komercdarbības atbalsta kontroles likuma 9. panta otro daļu Zemkopības ministrija veic plānoto atbalsta programmu vai ad-hoc atbalsta projektu, vai to plānoto grozījumu sākotnējo izvērtēšanu zvejniecības, akvakultūras, lauksaimniecības un mežsaimniecības nozarē, izņemot tādu ad-hoc atbalsta projektu sākotnējo izvērtēšanu, kuru ietvaros tiek plānots sniegt </w:t>
            </w:r>
            <w:r w:rsidR="00000000" w:rsidRPr="00000000" w:rsidDel="00000000">
              <w:rPr>
                <w:i w:val="1"/>
                <w:rtl w:val="0"/>
              </w:rPr>
              <w:t xml:space="preserve">de minimis</w:t>
            </w:r>
            <w:r w:rsidR="00000000" w:rsidRPr="00000000" w:rsidDel="00000000">
              <w:rPr>
                <w:rtl w:val="0"/>
              </w:rPr>
              <w:t xml:space="preserve"> atbalstu saskaņā ar Komisijas regulu Nr. 1408/2013 vai Komisijas regulu Nr. 717/2014, ja tiek ievēroti šā likuma 10. panta trešās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30. septembrī noteikumiem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(turpmāk - noteikumi Nr.599) 17. punktu valsts vai pašvaldības institūcija, kas ir atbildīga par citu finanšu avotu (kuri nav Eiropas Savienības struktūrfondu atbalsta programmas vai projekti) piemērošanu lauksaimniecības, lauku vai zivsaimniecības attīstības jomā (turpmāk – atbalsta sniedzējs), izvērtē atbalsta programmas vai projekta atbilstību Līguma par Eiropas Savienības darbību 107. un 108. pantam un Eiropas Savienības tieši piemērojamajiem tiesību aktiem par atbalstu lauksaimniecības un zivsaimniecības nozarē,  ja atbalsts atbilst Līguma par Eiropas Savienības darbību 107. un 108. pantam un Eiropas Savienības tieši piemērojamajiem normatīvajiem aktiem par valsts atbalstu par atbalstu lauksaimniecības un zivsaimniecības nozarē tos ir jānosūta Zemkopības ministrijai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grozījumi attiecas uz komercdarbības atbalstu, ko plāno piešķirt lauksaimniecības un zivsaimniecības nozarē Ekonomikas ministrijai saskaņā ar Komercdarbības atbalsta kontroles likuma 9. panta otro daļu un noteikumu  Nr.599 17. punktu grozījumi Ministru kabineta 2009. gada 15. septembra noteikumos Nr. 1065 "Noteikumi par aizdevumiem sīko (mikro), mazo un vidējo saimnieciskās darbības veicēju un lauksaimniecības un mežsaimniecības pakalpojumu kooperatīvo sabiedrību attīstības veicināšanai" (turpmāk - grozījumi) ir jānosūta izvērtēšanai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saskaņā ar Ministru kabineta 2014. gada 16. decembra noteikumiem Nr. 759 "Kārtība, kādā Eiropas Komisijā iesniedz atbalsta programmu un individuālo atbalsta projektu paziņojumus un kopsavilkuma informāciju, un kārtība, kādā piešķir un anulē elektroniskās sistēmas lietošanas tiesības" (turpmāk - noteikumi Nr.759) Ekonomikas ministrijai  pēc grozījumu stāšanās spēkā jāievieto kopsavilkuma informācija SANI sistēmā un jāinformē Zemkopības ministrija, lai Zemkopības ministrija varētu nodrošināt kopsavilkuma informācijas iesniegšanu Eiropas Komisijā. Lai nodrošinātu savlaicīgu kopsavilkuma informācijas iesniegšanu Eiropas Komisijā,atbilstoši regulas Nr. 2022/2472 11. panta 1. punktā un  regulas Nr. 2022/2473 11. panta 1. punktā noteiktajam termiņam Ekonomikas ministrija 10 darba dienu laikā pēc šo noteikumu grozījumu stāšanās spēkā ievieto kopsavilkuma informāciju SANI sistēmā un informē par to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anotāciju ar informāciju, ka Ekonomikas ministrija ievietos kopsavilkuma informāciju SANI sistēmā atbilstoši noteikumiem Nr.759 10 darba dienu laikā pēc šo noteikumu grozījumu stāšanās spēkā un informēs par to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6.5.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6.5. apakšpunktu nepieciešams precizēt, ka atbalstu saskaņā ar regulu 2022/2473 var piešķirt līdz regulas 2022/2473 58. panta 4. punktā un 59. pantā noteiktajam beigu termiņam, lai nodrošinātu nepārprotamu regulas 2022/2473 beigu termiņa piemērošanas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noteikumus ar jaunu punktu par nelikumīgi piešķirtu komercdarbības atbalstu vai neatbilstoši piešķirtu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pārkāptas regulas 2022/2472 prasības, sabiedrība "Altum" uzliek par pienākumu atbalsta saņēmējam atmaksāt sabiedrībai "Altum" saņemto nelikumīgo komercdarbības atbalstu. Ja pārkāptas  Komisijas regulas Nr. 1408/2013 vai Komisijas regulas Nr. 717/2014 prasības, sabiedrība "Altum" atbalsta saņēmējam uzliek par pienākumu atmaksāt sabiedrībai "Altum" visu atbalsta pasākumā saņemto komercdarbības atbalstu. Atbalsta summu atmaksā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investīcijām saskaņā ar regulu 2022/2472 un regulu 2022/2473 ir jānodrošina regulas 2022/2472 8. panta 3. un 7. un 8. punktā vai regulas 2022/2473 8. panta 2. un 3. punktā noteikto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jaunu punktu, ka informāciju par izmaksāto </w:t>
            </w:r>
            <w:r w:rsidR="00000000" w:rsidRPr="00000000" w:rsidDel="00000000">
              <w:rPr>
                <w:i w:val="1"/>
                <w:rtl w:val="0"/>
              </w:rPr>
              <w:t xml:space="preserve">de minimis</w:t>
            </w:r>
            <w:r w:rsidR="00000000" w:rsidRPr="00000000" w:rsidDel="00000000">
              <w:rPr>
                <w:rtl w:val="0"/>
              </w:rPr>
              <w:t xml:space="preserve"> atbalstu saskaņā ar Komisijas 2022. gada 14. decembra Regulu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 (turpmāk – regula 2022/2472), Komisijas 2013. gada 18. decembra Regulu (EK) Nr.   1408/2013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lauksaimniecības nozarē (Eiropas Savienības Oficiālais Vēstnesis, 2013. gada 24. decembris, Nr. L 352) (turpmāk – Komisijas regula Nr. 1408/2013) vai Komisijas 2014. gada 27. jūnija Regulu (EK) Nr. 717/2014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 (Eiropas Savienības Oficiālais Vēstnesis, 2014. gada 28. jūnijs, Nr. L 190) (turpmāk – Komisijas regula Nr. 717/2014) atbalsta saņēmējs glabā 10 gadus no atbalsta saņemšanas dienas, savukārt akciju sabiedrība "Attīstības finanšu institūcija </w:t>
            </w:r>
            <w:r w:rsidR="00000000" w:rsidRPr="00000000" w:rsidDel="00000000">
              <w:rPr>
                <w:i w:val="1"/>
                <w:rtl w:val="0"/>
              </w:rPr>
              <w:t xml:space="preserve">Altum</w:t>
            </w:r>
            <w:r w:rsidR="00000000" w:rsidRPr="00000000" w:rsidDel="00000000">
              <w:rPr>
                <w:rtl w:val="0"/>
              </w:rPr>
              <w:t xml:space="preserve">" datus par izmaksāto atbalstu saskaņā ar regula 2022/2472 glabā 10 gadus, sākot no dienas, kad ir piešķirts pēdējais atbalsts šajos noteikumos minētajiem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Komisijas 2022. gada 14. decembra Regula (ES) 2022/2472, ar kuru, piemērojot Līguma par Eiropas Savienības darbību 107. un 108. pantu, dažu kategoriju atbalstu lauksaimniecības un mežsaimniecības nozarē un lauku apvidos atzīst par saderīgu ar iekšējo tirgu (Dokuments attiecas iz EEZ) (turpmāk – Komisijas regula Nr.  2022/2472) 63. panta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6.4. apakšpunktu nepieciešams precizēt, ka atbalstu saskaņā ar regulu 2022/2472 var piešķirt līdz regulas 2022/2472 63. panta 4. punktā un 64. pantā noteiktajam beigu termiņam,  lai nodrošinātu nepārprotamu regulas 2022/2472 beigu termiņa piemērošanas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Viena mēneša laikā pēc aizdevuma piešķiršanas sabiedrība "Altum" savā tīmekļvietnē ievieto informāciju par aizdevuma saņēmēju, aizdevuma izlietojuma mērķi, aizdevuma summu un aizdevuma piešķiršanas datumu. Par aizdevumu, kas izsniegts saskaņā ar Komisijas regulu Nr. 2022/2472, finanšu institūcija nodrošina informācijas publicēšanu atbilstoši Komisijas regulas Nr. 2022/2472 9. panta 1. punkta c) apakšpunktā un 3. punktā noteiktajām prasībām un Komisijas regulas Nr. 2022/2473 9. panta 2. punkta c) apakšpunktā un 3.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12.</w:t>
            </w:r>
            <w:r w:rsidR="00000000" w:rsidRPr="00000000" w:rsidDel="00000000">
              <w:rPr>
                <w:vertAlign w:val="superscript"/>
                <w:rtl w:val="0"/>
              </w:rPr>
              <w:t xml:space="preserve">2</w:t>
            </w:r>
            <w:r w:rsidR="00000000" w:rsidRPr="00000000" w:rsidDel="00000000">
              <w:rPr>
                <w:rtl w:val="0"/>
              </w:rPr>
              <w:t xml:space="preserve"> punktu, jo par aizdevumu, kas izsniegts saskaņā ar  regulu Nr. 2022/2472, finanšu institūcija nodrošina informācijas publicēšanu atbilstoši  regulas Nr. 2022/2473 9. panta 1. punkta c) apakšpunktā un 3. punktā noteiktajām prasībām, jo regulas Nr. 2022/2473 9. panta 2. punkta c) apakšpunktā noteikti atbalsta griesti atbalstam nodokļu atvieglojumu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apgrozāmo līdzekļu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1408/2013;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15.2. apakšpunktu nepieciešams redakcionāli precizēt, ka atbalstu nepiešķir par darbībām, kas minētas Komisijas regulas Nr. 1408/2013 1. pantā, nevis nozarēm, jo Komisijas regulas Nr. 1408/2013 1. pantā ir noteikta nozare kuru var atbalstīt.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apgrozāmos līdzekļus nepiešķir nozarēm, kas noteiktas Komisijas regulas Nr.  </w:t>
            </w:r>
            <w:r w:rsidR="00000000" w:rsidRPr="00000000" w:rsidDel="00000000">
              <w:rPr>
                <w:rtl w:val="0"/>
              </w:rPr>
              <w:t xml:space="preserve">717/2014</w:t>
            </w:r>
            <w:r w:rsidR="00000000" w:rsidRPr="00000000" w:rsidDel="00000000">
              <w:rPr>
                <w:rtl w:val="0"/>
              </w:rPr>
              <w:t xml:space="preserve"> 1.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w:t>
            </w:r>
            <w:r w:rsidR="00000000" w:rsidRPr="00000000" w:rsidDel="00000000">
              <w:rPr>
                <w:vertAlign w:val="superscript"/>
                <w:rtl w:val="0"/>
              </w:rPr>
              <w:t xml:space="preserve">1</w:t>
            </w:r>
            <w:r w:rsidR="00000000" w:rsidRPr="00000000" w:rsidDel="00000000">
              <w:rPr>
                <w:rtl w:val="0"/>
              </w:rPr>
              <w:t xml:space="preserve">2. apakšpunktu nepieciešams redakcionāli precizēt, ka atbalstu nepiešķir par darbībām, kas minētas Komisijas regulas Nr. 717/2014 1. pantā, nevis nozarēm, jo Komisijas regulas Nr. 717/2014 1. pantā ir noteikta nozare kuru var atbalstīt.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šo noteikumu 7.3.apakšpunktā minētajiem saimnieciskās darbības veicējiem atbalsta intensitāte nedrīkst pārsniegt Komisijas regulas Nr. 2022/2472 14. panta 11. punktā noteiktos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2022/2472 14. panta 11. punktā noteikto atbalsta intensitāti ir iespējams palielināt arī pie īpašiem nosacījumiem, nepieciešams papildināt noteikumu 29.2. apakšpunktu arī atsaucēm uz regulas Nr. 2022/2472 14. panta 12., 13. un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šo noteikumu 7.4. apakšpunktā minētajam saimnieciskās darbības veicējam atbalstu nepiešķir, ja uz to attiecas līdzekļu atgūšanas rīkojums atbilstoši Komisijas regulas Nr. 2022/2473 2. panta 5.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29.5. apakšpunktā nepieciešams precizēt atsauci uz Komisijas regulas Nr. 2022/2473 1. panta 5. punktu, jo līdzekļu atgūšanas rīkojums saskaņā ar kuru nedrīkst piešķirt atbalstu noteikts Komisijas regulas Nr. 2022/2473 1. panta 5. punktā nevis Komisijas regulas Nr. 2022/2473 2. panta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10</w:t>
            </w:r>
            <w:r w:rsidR="00000000" w:rsidRPr="00000000" w:rsidDel="00000000">
              <w:rPr>
                <w:rtl w:val="0"/>
              </w:rPr>
              <w:t xml:space="preserve"> Šo noteikumu 7.3. apakšpunktā minētajiem saimnieciskās darbības veicējiem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1408/2013 un nepiešķir nozarēm, kas noteiktas Komisijas regulas Nr. 1408/2013 1.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30.</w:t>
            </w:r>
            <w:r w:rsidR="00000000" w:rsidRPr="00000000" w:rsidDel="00000000">
              <w:rPr>
                <w:vertAlign w:val="superscript"/>
                <w:rtl w:val="0"/>
              </w:rPr>
              <w:t xml:space="preserve">10</w:t>
            </w:r>
            <w:r w:rsidR="00000000" w:rsidRPr="00000000" w:rsidDel="00000000">
              <w:rPr>
                <w:rtl w:val="0"/>
              </w:rPr>
              <w:t xml:space="preserve"> punktu, jo atbalstu nepiešķir par darbībām, kas minētas Komisijas regulas Nr. 1408/2013 1. pantā nevis nozarēm, jo Komisijas regulas Nr. 1408/2013 1. pantā ir noteikta nozare kuru var atbalstīt.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11</w:t>
            </w:r>
            <w:r w:rsidR="00000000" w:rsidRPr="00000000" w:rsidDel="00000000">
              <w:rPr>
                <w:rtl w:val="0"/>
              </w:rPr>
              <w:t xml:space="preserve"> Šo noteikumu 7.4. apakšpunktā minētajiem saimnieciskās darbības veicējiem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717/2014</w:t>
            </w:r>
            <w:r w:rsidR="00000000" w:rsidRPr="00000000" w:rsidDel="00000000">
              <w:rPr>
                <w:rtl w:val="0"/>
              </w:rPr>
              <w:t xml:space="preserve"> un nepiešķir nozarēm, kas noteiktas Komisijas regulas Nr.  </w:t>
            </w:r>
            <w:r w:rsidR="00000000" w:rsidRPr="00000000" w:rsidDel="00000000">
              <w:rPr>
                <w:rtl w:val="0"/>
              </w:rPr>
              <w:t xml:space="preserve">717/2014</w:t>
            </w:r>
            <w:r w:rsidR="00000000" w:rsidRPr="00000000" w:rsidDel="00000000">
              <w:rPr>
                <w:rtl w:val="0"/>
              </w:rPr>
              <w:t xml:space="preserve"> 1.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30.</w:t>
            </w:r>
            <w:r w:rsidR="00000000" w:rsidRPr="00000000" w:rsidDel="00000000">
              <w:rPr>
                <w:vertAlign w:val="superscript"/>
                <w:rtl w:val="0"/>
              </w:rPr>
              <w:t xml:space="preserve">11</w:t>
            </w:r>
            <w:r w:rsidR="00000000" w:rsidRPr="00000000" w:rsidDel="00000000">
              <w:rPr>
                <w:rtl w:val="0"/>
              </w:rPr>
              <w:t xml:space="preserve"> punktu, jo atbalstu nepiešķir par darbībām, kas minētas Komisijas regulas Nr. 717/2014 1. pantā nevis nozarēm, jo Komisijas regulas Nr. 717/2014 1. pantā ir noteikta nozare kuru var atbalstīt.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var apvienot ar citu de minimis saņemto atbalstu, nepārsniedzot Komisijas regulas Nr. 1407/2013 3. panta 2. punktā vai Komisijas regulas Nr. 1408/2013 3. panta 2. punktā noteikto maksimālo apmēru attiecīgajā fiskālajā gadā un iepriekšējos divos fiskālajos gados – apmēru viena vienota uzņēmuma līmenī, izņemot 1.2.3.5. pasākuma ietvaros piešķirto atbalstu, ja izmaksas, ar kurām saņemtais atbalsts tiek apvienots, ir finansētas no Eiropas Savienības fondu saņemtā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34.1. apakšpunktā nepieciešams veikt precizējumu, jo maksimālā atbalsta intensitāte, ko piešķir saskaņā ar Komisijas regulu Nr. 1408/2013 ir noteikta Komisijas regulas Nr. 1408/2013 3. panta 3. punkta "a" apakšpunktā, nevis Komisijas regulas Nr. 1408/2013 3. panta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22.05.2023.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22.05.2023.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Atzinumi_23-TA-1000.docx</dc:title>
</cp:coreProperties>
</file>

<file path=docProps/custom.xml><?xml version="1.0" encoding="utf-8"?>
<Properties xmlns="http://schemas.openxmlformats.org/officeDocument/2006/custom-properties" xmlns:vt="http://schemas.openxmlformats.org/officeDocument/2006/docPropsVTypes"/>
</file>