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atbalsta pasākumiem bāreņiem un bez vecāku gādības palikušiem bērniem pēc pilngadības sasniegšanas”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24-TA-2594)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14.03.2025.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14.03.2025.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