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10. decembra noteikumos Nr. 730 "Ekspluatējamu ēku energoefektivitātes minimālās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noteikumu projekta anotācijas 5.4. apakšsadaļā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anotācijas 5.4. apakšsadaļas 1. tabulā pamatojot, no kurām konkrēti Eiropas Parlamenta un Padomes 2024. gada 24. aprīļa Direktīvas (ES) 2024/1275 par ēku energosniegumu (turpmāk - direktīva) vienībām izriet noteikumu projekta 1.8., 1.14.-1.18. apakšpunktā minētie izņēmumi;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skaidrojot, kā direktīvas 9. panta 7. punkts pārņemts grozīto noteikumu 2. un 2.</w:t>
            </w:r>
            <w:r w:rsidR="00000000" w:rsidRPr="00000000" w:rsidDel="00000000">
              <w:rPr>
                <w:vertAlign w:val="superscript"/>
                <w:rtl w:val="0"/>
              </w:rPr>
              <w:t xml:space="preserve">1</w:t>
            </w:r>
            <w:r w:rsidR="00000000" w:rsidRPr="00000000" w:rsidDel="00000000">
              <w:rPr>
                <w:rtl w:val="0"/>
              </w:rPr>
              <w:t xml:space="preserve"> punktā, ņemot vērā, ka konkrētā direktīvas norma attiecas uz uzraudzības un sankcijas pasākumiem, kas no abiem minētajiem punktiem neizriet;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izziņas 6. punktā minēto iebildumu, sniedzot 1. tabulā informāciju par pārējo direktīvas prasību pārņemšanu, nepieciešamības gadījumā norādot izziņas skaidrojumā minēto, proti, ka konkrētās normas tiks pārņemtas Ministru kabineta 2021. gada 19. oktobra noteikumos Nr. 693 "Būvju vispārīgo prasību būvnormatīvs LBN 200-21", kā arī šajā un citos gadījumos norādot termiņu, līdz kuram konkrētās normas tiks pārņemtas, un atbildīgo institūciju par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papildinot minēto tabulu un sniedzot skaidrojumu arī par direktīvas 9. panta 1. punkta trešajā daļā, 6. punktā, 13. panta 1. punkta trešajā daļā, 5. punkta otrajā teikumā kā arī 14. panta 4. punkta ceturtajā daļā ietvertās rīcības brīvības izmantošanu vai neizmantošanu noteikumu projektā. Kā arī skaidrojot rīcības brīvību, lūdzam norādīt arī precīzu direktīvas normas, kas to paredz, kā arī pamatojumu rīcības brīvības izmantošanai vai neizmantošanai. Papildus lūdzam arī precizēt informāciju par rīcības brīvības izmantošanu noteikumu projekta 5. un 19. punktā, jo noteikumu projektā nav atrodamas minētās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Nedzīvojamas ēkas aprīko ar pašregulējošām ierīcēm gaisa temperatūras, relatīvā gaisa mitruma un gaisa apmaiņas (cirkulācijas) plūsmas ātruma atsevišķai regulēšanai katrā telpā (vides kvalitātes monitoringa sistēma) vai telpu grupā, ja tiek mainīta ēkas apkures sistēmas daļa, kas ražo siltumenerģiju (siltumģenerators), ja tas ir tehniski piemēroti, ekonomiski un funkcionāli īstenojami.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direktīvas 13. panta 1. un 5. punkts paredz atšķirīgas prasības, proti, noteiktas sistēmas prasības un prasība, lai nedzīvojamās bezemisiju ēkas būtu aprīkotas ar iekštelpu gaisa kvalitātes monitoringam un regulēšanai domātām mērierīcēm un vadības ierīcēm, tomēr noteikumu projekta 9. punktā pretēji anotācijas 5.4. apakšsadaļas 1. tabulā ietvertajai informācijai pirmšķietami nav atrodams regulējums par sistēmas prasībām, tādēļ lūdzam izvērtēt un pilnveidot minētajā tabulā norādīto, detalizētāk atspoguļojot 13. panta 1. punkta katras daļas pārņemšanu, nepieciešamības gadījumā papildinot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3</w:t>
            </w:r>
            <w:r w:rsidR="00000000" w:rsidRPr="00000000" w:rsidDel="00000000">
              <w:rPr>
                <w:rtl w:val="0"/>
              </w:rPr>
              <w:t xml:space="preserve">5. uzstādīšanu būtiski ierobežo pastāvīgs ēnojums vai citi ārējie apstākļi.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vai tā anotācijā (nepieciešamības gadījumā - piemērveidā) skaidrot, kādi citi ārējie apstākļi varētu uzstādīšanu būtiski ierobežot.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velosipēdu stāvvietas, kas veido vismaz 10 % no kopējās lietotāju kapacitātes, paredzot vietu arī lielāka izmēra velosipēdiem nekā standarta velosipēdi.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pamatot, kādēļ kā alternatīva vairs (proti, saskaņošanas gaitā šī alternatīva noteikumu projektā ir svītrota) netiek paredzēts tas, ka velosipēdu stāvvietas veido vismaz 15 % no nedzīvojamo ēku vidējās lietotāju kapacitātes, kā izriet no korespondējošās direktīvas nomas. Alternatīvi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12.2. </w:t>
            </w:r>
            <w:r w:rsidR="00000000" w:rsidRPr="00000000" w:rsidDel="00000000">
              <w:rPr>
                <w:rtl w:val="0"/>
              </w:rPr>
              <w:t xml:space="preserve">apakšpunktā</w:t>
            </w:r>
            <w:r w:rsidR="00000000" w:rsidRPr="00000000" w:rsidDel="00000000">
              <w:rPr>
                <w:rtl w:val="0"/>
              </w:rPr>
              <w:t xml:space="preserve"> noteiktā prasība par vietu skaitu velosipēdu stāvvietā neattiecas uz tām nedzīvojamām ēkām, kurām parasti ar velosipēdu nepiekļūst.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tiesiskās noteiktības nolūkā apvienot šo noteikumu 12.</w:t>
            </w:r>
            <w:r w:rsidR="00000000" w:rsidRPr="00000000" w:rsidDel="00000000">
              <w:rPr>
                <w:vertAlign w:val="superscript"/>
                <w:rtl w:val="0"/>
              </w:rPr>
              <w:t xml:space="preserve">1</w:t>
            </w:r>
            <w:r w:rsidR="00000000" w:rsidRPr="00000000" w:rsidDel="00000000">
              <w:rPr>
                <w:rtl w:val="0"/>
              </w:rPr>
              <w:t xml:space="preserve">,12.</w:t>
            </w:r>
            <w:r w:rsidR="00000000" w:rsidRPr="00000000" w:rsidDel="00000000">
              <w:rPr>
                <w:vertAlign w:val="superscript"/>
                <w:rtl w:val="0"/>
              </w:rPr>
              <w:t xml:space="preserve">4</w:t>
            </w:r>
            <w:r w:rsidR="00000000" w:rsidRPr="00000000" w:rsidDel="00000000">
              <w:rPr>
                <w:rtl w:val="0"/>
              </w:rPr>
              <w:t xml:space="preserve"> un 12.</w:t>
            </w:r>
            <w:r w:rsidR="00000000" w:rsidRPr="00000000" w:rsidDel="00000000">
              <w:rPr>
                <w:vertAlign w:val="superscript"/>
                <w:rtl w:val="0"/>
              </w:rPr>
              <w:t xml:space="preserve">5</w:t>
            </w:r>
            <w:r w:rsidR="00000000" w:rsidRPr="00000000" w:rsidDel="00000000">
              <w:rPr>
                <w:rtl w:val="0"/>
              </w:rPr>
              <w:t xml:space="preserve">punktus vai citādi savstarpēji sasaistīt (piemēram, ar iekšējām atsaucēm) minētos punktus. Norādām, ka pirmšķietami, piemērojot normas atbilstoši direktīvai, 12.</w:t>
            </w:r>
            <w:r w:rsidR="00000000" w:rsidRPr="00000000" w:rsidDel="00000000">
              <w:rPr>
                <w:vertAlign w:val="superscript"/>
                <w:rtl w:val="0"/>
              </w:rPr>
              <w:t xml:space="preserve">5</w:t>
            </w:r>
            <w:r w:rsidR="00000000" w:rsidRPr="00000000" w:rsidDel="00000000">
              <w:rPr>
                <w:rtl w:val="0"/>
              </w:rPr>
              <w:t xml:space="preserve"> punkts sniedz piemērus 12.</w:t>
            </w:r>
            <w:r w:rsidR="00000000" w:rsidRPr="00000000" w:rsidDel="00000000">
              <w:rPr>
                <w:vertAlign w:val="superscript"/>
                <w:rtl w:val="0"/>
              </w:rPr>
              <w:t xml:space="preserve">1</w:t>
            </w:r>
            <w:r w:rsidR="00000000" w:rsidRPr="00000000" w:rsidDel="00000000">
              <w:rPr>
                <w:rtl w:val="0"/>
              </w:rPr>
              <w:t xml:space="preserve"> punktā minētajam izņēmumam, savukārt 12.</w:t>
            </w:r>
            <w:r w:rsidR="00000000" w:rsidRPr="00000000" w:rsidDel="00000000">
              <w:rPr>
                <w:vertAlign w:val="superscript"/>
                <w:rtl w:val="0"/>
              </w:rPr>
              <w:t xml:space="preserve">4</w:t>
            </w:r>
            <w:r w:rsidR="00000000" w:rsidRPr="00000000" w:rsidDel="00000000">
              <w:rPr>
                <w:rtl w:val="0"/>
              </w:rPr>
              <w:t xml:space="preserve"> punkts paredz procedūru, kādā šo izņēmumu var piemērot, tomēr no noteikumu projekta redakcijas un anotācijas tas neizriet. Alternatīvi, ja tiek paplašināts direktīvā minētais izņēmums, lūdzam sniegt attiecīgu direktīvā balstītu pamatojumu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5</w:t>
            </w:r>
            <w:r w:rsidR="00000000" w:rsidRPr="00000000" w:rsidDel="00000000">
              <w:rPr>
                <w:rtl w:val="0"/>
              </w:rPr>
              <w:t xml:space="preserve">5. kuras tiek izmantotas specifiskiem lauksaimniecības vai mežsaimniecības mērķiem, atrodoties ievērojamā attālumā no apdzīvotām vietām un kalpojot tikai tehnikas, lopu vai izejvielu uzglabāšanai;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projektā vai tā anotācijā skaidrot, kas ir saprotams ar "</w:t>
            </w:r>
            <w:r w:rsidR="00000000" w:rsidRPr="00000000" w:rsidDel="00000000">
              <w:rPr>
                <w:u w:val="single"/>
                <w:rtl w:val="0"/>
              </w:rPr>
              <w:t xml:space="preserve">ievērojamu</w:t>
            </w:r>
            <w:r w:rsidR="00000000" w:rsidRPr="00000000" w:rsidDel="00000000">
              <w:rPr>
                <w:rtl w:val="0"/>
              </w:rPr>
              <w:t xml:space="preserve"> attālumu", ņemot vērā, ka konkrētā norāde ir subjektīva un varētu būt apgrūtinoši piemērojama praksē. Līdzīgi lūdzam skaidrot arī noteikumu projektā lietotos terminus "</w:t>
            </w:r>
            <w:r w:rsidR="00000000" w:rsidRPr="00000000" w:rsidDel="00000000">
              <w:rPr>
                <w:u w:val="single"/>
                <w:rtl w:val="0"/>
              </w:rPr>
              <w:t xml:space="preserve">būtiski</w:t>
            </w:r>
            <w:r w:rsidR="00000000" w:rsidRPr="00000000" w:rsidDel="00000000">
              <w:rPr>
                <w:rtl w:val="0"/>
              </w:rPr>
              <w:t xml:space="preserve"> ierobežojumi", "</w:t>
            </w:r>
            <w:r w:rsidR="00000000" w:rsidRPr="00000000" w:rsidDel="00000000">
              <w:rPr>
                <w:u w:val="single"/>
                <w:rtl w:val="0"/>
              </w:rPr>
              <w:t xml:space="preserve">būtiski</w:t>
            </w:r>
            <w:r w:rsidR="00000000" w:rsidRPr="00000000" w:rsidDel="00000000">
              <w:rPr>
                <w:rtl w:val="0"/>
              </w:rPr>
              <w:t xml:space="preserve"> pārtraukumi"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7</w:t>
            </w:r>
            <w:r w:rsidR="00000000" w:rsidRPr="00000000" w:rsidDel="00000000">
              <w:rPr>
                <w:rtl w:val="0"/>
              </w:rPr>
              <w:t xml:space="preserve"> Ja pastāv kopējā tīkla ierobežojumi vai ir grūti prognozēt ar iepriekš ierīkotu kabeļu ierīkošanu saistītās tālākās faktiskās vajadzības, tad šo noteikumu </w:t>
            </w:r>
            <w:r w:rsidR="00000000" w:rsidRPr="00000000" w:rsidDel="00000000">
              <w:rPr>
                <w:rtl w:val="0"/>
              </w:rPr>
              <w:t xml:space="preserve">12.1. </w:t>
            </w:r>
            <w:r w:rsidR="00000000" w:rsidRPr="00000000" w:rsidDel="00000000">
              <w:rPr>
                <w:rtl w:val="0"/>
              </w:rPr>
              <w:t xml:space="preserve">apakšpunktā</w:t>
            </w:r>
            <w:r w:rsidR="00000000" w:rsidRPr="00000000" w:rsidDel="00000000">
              <w:rPr>
                <w:rtl w:val="0"/>
              </w:rPr>
              <w:t xml:space="preserve"> minēto kabeļu iepriekšēju ierīkošanu pieļaujams aizstāt ar kabeļkanāliem ar ievilcējvadu un kabeļrenēm iekštelpu autostāvvietās un zonās bez cietā seguma.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 noteikumu 12.1. apakšpunktā nav minēta kabeļu iepriekšēja ierīkošana, tādēļ lūdzam attiecīgi precizēt normā ietverto atsauci, nodrošinot juridiskās tehnikas prasībām atbilstošu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ka noteikumu projekta anotācijas 1.3. apakšsadaļā tiek skaidrots katra būtiskā grozījuma noteikumu projektā nepieciešamība un mērķis. Vēršam uzmanību, ka vairākos gadījumos šobrīd skaidrojums sniegts vispārīgi, faktiski norādot, kāds regulējums ar noteikumu projektu tiek paredzēts (piem.: "Papildināts Noteikumu 2.punkts ar precizējumu par prasību attiecināšanu tikai dzīvojamām ēkām). Tā vietā lūdzam skaidrojumus minētajā apakšsadaļā konsekventi sasaistīt ar konkrētām direktīvas prasībām vai citādi skaidrot problemātiku, kāpēc nepieciešams veikt attiecīgo grozījumu un kādēļ attiecīgais noteikumu projekta regulējums ir samērīgs un efektīvākais risinājums konkrētajai problēmai.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Dzīvojama ēka uzskatāma par atbilstošu enerģijas patēriņa līmeņa un primārās enerģijas patēriņa līmeņa minimālajām prasībām, ja tās energoefektivitātes klases rādītājs saskaņā ar normatīvajiem aktiem ēku energosertifikācijas jomā atbilst atbilst E klasei vai augstākai klasei.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("atbilst atbilst").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 Šo noteikumu </w:t>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noteikto pienākumu publiskā sektora subjekta ēkās nodrošināt piemērotu saules enerģijas iekārtu uzstādīšanu izpilda līdz 2027. gada 31. decembrim attiecībā uz ēkām, kuru kopējā platība pārsniedz 2000 m</w:t>
            </w:r>
            <w:r w:rsidR="00000000" w:rsidRPr="00000000" w:rsidDel="00000000">
              <w:rPr>
                <w:vertAlign w:val="superscript"/>
                <w:rtl w:val="0"/>
              </w:rPr>
              <w:t xml:space="preserve">2</w:t>
            </w:r>
            <w:r w:rsidR="00000000" w:rsidRPr="00000000" w:rsidDel="00000000">
              <w:rPr>
                <w:rtl w:val="0"/>
              </w:rPr>
              <w:t xml:space="preserve">, līdz 2028. gada 31. decembrim – attiecībā uz ēkām, kuru kopējā platība pārsniedz 750 m</w:t>
            </w:r>
            <w:r w:rsidR="00000000" w:rsidRPr="00000000" w:rsidDel="00000000">
              <w:rPr>
                <w:vertAlign w:val="superscript"/>
                <w:rtl w:val="0"/>
              </w:rPr>
              <w:t xml:space="preserve">2</w:t>
            </w:r>
            <w:r w:rsidR="00000000" w:rsidRPr="00000000" w:rsidDel="00000000">
              <w:rPr>
                <w:rtl w:val="0"/>
              </w:rPr>
              <w:t xml:space="preserve">, un līdz 2030. gada 31. decembrim – attiecībā uz ēkām, kuru kopējā platība pārsniedz 250 m</w:t>
            </w:r>
            <w:r w:rsidR="00000000" w:rsidRPr="00000000" w:rsidDel="00000000">
              <w:rPr>
                <w:vertAlign w:val="superscript"/>
                <w:rtl w:val="0"/>
              </w:rPr>
              <w:t xml:space="preserve">2</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korespondējošajā direktīvas vienībā norādīts uz lietderīgo grīdas platību, nevis kopējo platību, tādēļ lūdzam sniegt pamatotu skaidrojumu par noteikumu projektā lietoto terminoloģiju vai attiecīgi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vismaz vienu elektrotransportlīdzekļu uzlādes punktu uz 10 autostāvvietām vai ierīko kabeļkanālus vismaz 50 % automašīnu stāvvietām;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atbilstoši korespondējošajai direktīvas normai noteikumu projektā skaidrot, ka ar kabeļkanāliem saprotami elektrības kabeļiem paredzēti kanāli, lai vēlākā stadijā būtu iespējams ierīkot elektrotransportlīdzekļu uzlādes punktus, vai sniegt skaidrojumu noteikumu projekta anotācijā, kādā ārējā normatīvajā aktā konkrētais termins ir skaidrots.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26-TA-329</w:t>
    </w:r>
    <w:r>
      <w:br/>
    </w:r>
    <w:r w:rsidR="00000000" w:rsidRPr="00000000" w:rsidDel="00000000">
      <w:rPr>
        <w:rtl w:val="0"/>
      </w:rPr>
      <w:t xml:space="preserve">Izdrukāts 28.05.2026. 17.17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26-TA-329</w:t>
    </w:r>
    <w:r>
      <w:br/>
    </w:r>
    <w:r w:rsidR="00000000" w:rsidRPr="00000000" w:rsidDel="00000000">
      <w:rPr>
        <w:rtl w:val="0"/>
      </w:rPr>
      <w:t xml:space="preserve">Izdrukāts 28.05.2026. 17.17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Atzinumi_26-TA-329.docx</dc:title>
</cp:coreProperties>
</file>

<file path=docProps/custom.xml><?xml version="1.0" encoding="utf-8"?>
<Properties xmlns="http://schemas.openxmlformats.org/officeDocument/2006/custom-properties" xmlns:vt="http://schemas.openxmlformats.org/officeDocument/2006/docPropsVTypes"/>
</file>