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Datu pārvaldības stratēģiju 2026. - 2030.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paredz pieslēgt DAGR visas pašvaldības, bet ir būtiska pretruna termiņos. Trīs dokumentu daļas norāda atšķirīgus pieslēgšanas grafikus vienai un tai pašai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Rezultatīvo rādītāju tabula (4. tabula / kopsavilkuma 1. tabula): “DAGR pieslēgtās pašvaldības” — 2027: 5, 2028: 38, 2029: 0. Tātad 5 līdz 2027. gada beigām, atlikušās 38 līdz 2028.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(3. pielikums): visas pašvaldības pieslēgtas līdz 31.12.2028.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pieslēgumu plāns (4. pielikums, Excel): 5 lielākās pašvaldības — Q3 2028 (35. rinda), atlikušās 38 — Q2 2029 (36. rinda).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Jāsaskaņo termiņi dokumentu redakcijās.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finansējuma avots nav viennozīmīgi nostiprināts. Stratēģija norāda nepieciešamo summu (860 000–1 290 000 euro), bet skaidri nepasaka, vai šīs konkrētās integrācijas izmaksas pilnā apmērā sedz ERAF projekts “Datu platformu, portālu un standartu attīstība” (4 400 000 euro), vai arī kāda daļa tiek uzlikta pašvaldību budžetiem. Uzdevums 2.2 paredz projekta ietvaros izstrādāt platformu pašvaldībām, taču ne platformas uzdevumi, ne darbība nav sīkāk izskaidrota. Nav arī saprotams, kāpēc autori uzsver tieši pašvaldību pieslēgšanu DAGR, ja zināms, ka datu apmaiņu faktiski nodrošina konkrētas informācijas sistēmas, nevis pašvaldības kā tādas. Liela daļa šo sistēmu tiek lietota visās pašvaldībās, kas nozīmē, ka, pieslēdzot DAGR vienu šādu sistēmu, jau tiek pieslēgtas "visas pašvaldības". No dokumenta nav saprotams vai pašvaldību IS pieslēgšana DAGR notiks par projekta līdzekļiem, ja tā nebūs, tad plāns par pašvaldību pieslēgšanu DAGR nav realizējams.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arī 4. rīcības virzienā saskata nozīmīgu administratīvo slogu un jaunus birokrātiskos izaicinājumus, jo tā mērķis ir ieviest datu pārvaldības kompetenci un datu pārvaldnieka (kuratora) profesiju. Jaunas, obligātas un specializētas amata vietas uzturēšana katrā pašvaldībā radīs nesamērīgu spiedienu uz pašvaldību administratīvajiem izdevumiem un ir pretrunā ar valsts kopējo politiku par publiskā sektora štatu optimizāciju. Būtu izvērtējams risinājums, kur datu pārvaldnieka (kuratora) funkcija tiek nodrošināta valstiskā līmenī kā centralizēta kompetence, nevis deleģēta katrai pašvaldībai vai iestādei atsevišķi. Jāņem vērā potenciāli apjomīgais informācijas daudzums, ir būtiski skaidri nodefinēt prasības, vadlīnijas, kompetences un ieviešanas procesus, lai nodrošinātu efektīvu, vienotu un pārskatāmu datu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Noradām, ka Stratēģijā nav pietiekami skaidri definēti datu apmaiņas procesi un praktiskā datu aprites kārtība starp valsts un pašvaldību institūcijām, nav iespējams pilnvērtīgi izvērtēt plānoto risinājumu ietekmi, ja nav sniegts detalizēts skaidrojums par datu apmaiņas mehānismiem un to faktisko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būtisks nosacījums jebkuru plānoto izmaiņu un jauninājumu ieviešanā ir datu drošības un personas datu aizsardzības pilnīga garantēšana, nodrošinot atbilstību normatīvajiem aktiem un vienotu, drošu datu pārvaldības pieeju visā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07.07.2026.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07.07.2026.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Atzinumi_26-TA-347.docx</dc:title>
</cp:coreProperties>
</file>

<file path=docProps/custom.xml><?xml version="1.0" encoding="utf-8"?>
<Properties xmlns="http://schemas.openxmlformats.org/officeDocument/2006/custom-properties" xmlns:vt="http://schemas.openxmlformats.org/officeDocument/2006/docPropsVTypes"/>
</file>