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Kombinēto mācību īstenošanas un organizēšanas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profesionālajā izglītībā kombinētās mācības kā attālinātas vai tiešsaistes mācības īsteno: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izvērtējis piedāvāto noteikumu redakcijas iespējamo ietekmi profesionālās izglītības ieguvē. Nozaru ekspertu padomes norāda, ir tādas STEM profesionālās izglītības programmas, kuru apguve nav iespējama piedāvātajā attālināto vai tiešsaistes mācību veidā. Izvērtējot iespējamos risinājumus, ja ministrija turpina virzīt kombinētu mācību norises noteikumu attiecināšanu uz profesionālo izglītību, iespēju saskaņot ar nozaru ekspertu padomēm kvalifikācijas un izglītības programmas, kurās šāda pieeja varētu tikt īstenota, lai mazinātu riskus profesionālās izglītības kvalitātei.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kombinētu mācību forma nav īstenojama arī attiecībā uz praksēm (6.6.1.punkts).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Atzinumi_26-TA-1783.docx</dc:title>
</cp:coreProperties>
</file>

<file path=docProps/custom.xml><?xml version="1.0" encoding="utf-8"?>
<Properties xmlns="http://schemas.openxmlformats.org/officeDocument/2006/custom-properties" xmlns:vt="http://schemas.openxmlformats.org/officeDocument/2006/docPropsVTypes"/>
</file>