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nodrošina maksājumu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tiesību aktu projektiem veic aprēķinu par projektos iekļautiem informācijas sniegšanas pienākumiem, aprēķinu veic mērķa grupām, tai skaitā fiziskām un juridiskām personām, </w:t>
            </w:r>
            <w:r w:rsidR="00000000" w:rsidRPr="00000000" w:rsidDel="00000000">
              <w:rPr>
                <w:b w:val="1"/>
                <w:rtl w:val="0"/>
              </w:rPr>
              <w:t xml:space="preserve">valsts un pašvaldību institūcijām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w:t>
            </w:r>
            <w:r w:rsidR="00000000" w:rsidRPr="00000000" w:rsidDel="00000000">
              <w:rPr>
                <w:rtl w:val="0"/>
              </w:rPr>
              <w:t xml:space="preserve">" (turpmāk - Vadlīnijas) administratīvo izmaksu finansiālais novērtējums jānorāda gan izmaksu palielināšanās, gan samazināšanās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akta projektā ir iekļauti informācijas sniegšanas pienākumi un anotācijas problēmu un risinājuma sadaļā ir iekļauta informācija par administratīvo izmaksu samazināšanos noteiktos gadījumos, lūdzam veikt administratīvo izmaksu izmaiņu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samazinājumu valsts un pašvaldību institūcijām lūdzam norādīt anotācijas 7. sadaļā, aprēķinu veicot tikai par izmaiņu daļu salīdzinot ar iepriekšējos noteikumos iekļautajām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19.09.2024.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19.09.2024.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Atzinumi_24-TA-1867.docx</dc:title>
</cp:coreProperties>
</file>

<file path=docProps/custom.xml><?xml version="1.0" encoding="utf-8"?>
<Properties xmlns="http://schemas.openxmlformats.org/officeDocument/2006/custom-properties" xmlns:vt="http://schemas.openxmlformats.org/officeDocument/2006/docPropsVTypes"/>
</file>