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un piesardzīgas antibiotiku lietošanas plāns “Viena veselība”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sanāksmē nolemts (2022. gada 11. novembra protokols Nr. 5, 5. punkts), ka plānošanas dokumentos kā atbildīgās noteikt tikai Ministru kabinetam padotās iestādes. Līdz ar to lūdzam plāna projekta IV nodaļas tabulā kā atbildīgās institūcijas nenorādīt institūcijas, kuras nav padotas Ministru kabinetam. Ministru kabinetam nav mandāts uzdot pašvaldībām vai nevalstiskajām organizācijām (ja tās nepilda deleģētus valsts pārvaldes uzdevumus) veikt darbības vai izpildīt Ministru kabineta dotu uzdevumu. Izņēmumi ir pieļaujami tikai tad, ja šīs institūcijas rakstveidā ir apliecinājušas savu piekrišanu konkrētā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Antimikrobiālās rezistences ierobežošanas un piesardzīgas antibiotiku lietošanas plāns “Viena veselība”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nodaļā iekļautajā tabulas ceturtajā kolonnā pie 1.1.2. pasākuma lūdzam precizēt, kādos Ministru kabineta noteikumos Nr. 7 tiks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04.04.2023.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04.04.2023.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Atzinumi_22-TA-2077.docx</dc:title>
</cp:coreProperties>
</file>

<file path=docProps/custom.xml><?xml version="1.0" encoding="utf-8"?>
<Properties xmlns="http://schemas.openxmlformats.org/officeDocument/2006/custom-properties" xmlns:vt="http://schemas.openxmlformats.org/officeDocument/2006/docPropsVTypes"/>
</file>