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ārstniecības personu un studējošo, kuri apgūst medicīniskās izglītības programmas, kompetenci ārstniecībā un šo personu teorētisko un praktisko zināšanu apjomu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Atzīt par spēku zaudējušiem Ministru kabineta 2009. gada 24. marta noteikumus Nr. 268 "Noteikumi par ārstniecības personu un studējošo, kuri apgūst pirmā vai otrā līmeņa profesionālās augstākās medicīniskās izglītības programmas, kompetenci ārstniecībā un šo personu teorētisko un praktisko zināšanu apjomu" (Latvijas Vēstnesis, 2009, 58.nr.; 2011, 161.nr.; 2013, 12.nr.; 2016, 101., 245.nr.; 2018, 128.nr., 2019, 12.nr., 203.nr.; 2020, 75.nr.; 2020, 160.nr.; 2020, 242.nr.; 2021, 245.nr.).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661.punkts paredz atzīt par spēku zaudējušiem Ministru kabineta 2009. gada 24. marta noteikumus Nr. 268 "Noteikumi par ārstniecības personu un studējošo, kuri apgūst pirmā vai otrā līmeņa profesionālās augstākās medicīniskās izglītības programmas, kompetenci ārstniecībā un šo personu teorētisko un praktisko zināšanu apjomu”, lūdzam šo informāciju norādīt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Šo noteikumu </w:t>
            </w:r>
            <w:r w:rsidR="00000000" w:rsidRPr="00000000" w:rsidDel="00000000">
              <w:rPr>
                <w:rtl w:val="0"/>
              </w:rPr>
              <w:t xml:space="preserve">150. </w:t>
            </w:r>
            <w:r w:rsidR="00000000" w:rsidRPr="00000000" w:rsidDel="00000000">
              <w:rPr>
                <w:rtl w:val="0"/>
              </w:rPr>
              <w:t xml:space="preserve">, </w:t>
            </w:r>
            <w:r w:rsidR="00000000" w:rsidRPr="00000000" w:rsidDel="00000000">
              <w:rPr>
                <w:rtl w:val="0"/>
              </w:rPr>
              <w:t xml:space="preserve">159. </w:t>
            </w:r>
            <w:r w:rsidR="00000000" w:rsidRPr="00000000" w:rsidDel="00000000">
              <w:rPr>
                <w:rtl w:val="0"/>
              </w:rPr>
              <w:t xml:space="preserve"> </w:t>
            </w:r>
            <w:r w:rsidR="00000000" w:rsidRPr="00000000" w:rsidDel="00000000">
              <w:rPr>
                <w:rtl w:val="0"/>
              </w:rPr>
              <w:t xml:space="preserve">173. </w:t>
            </w:r>
            <w:r w:rsidR="00000000" w:rsidRPr="00000000" w:rsidDel="00000000">
              <w:rPr>
                <w:rtl w:val="0"/>
              </w:rPr>
              <w:t xml:space="preserve"> </w:t>
            </w:r>
            <w:r w:rsidR="00000000" w:rsidRPr="00000000" w:rsidDel="00000000">
              <w:rPr>
                <w:rtl w:val="0"/>
              </w:rPr>
              <w:t xml:space="preserve">194. </w:t>
            </w:r>
            <w:r w:rsidR="00000000" w:rsidRPr="00000000" w:rsidDel="00000000">
              <w:rPr>
                <w:rtl w:val="0"/>
              </w:rPr>
              <w:t xml:space="preserve">, </w:t>
            </w:r>
            <w:r w:rsidR="00000000" w:rsidRPr="00000000" w:rsidDel="00000000">
              <w:rPr>
                <w:rtl w:val="0"/>
              </w:rPr>
              <w:t xml:space="preserve">203.</w:t>
            </w:r>
            <w:r w:rsidR="00000000" w:rsidRPr="00000000" w:rsidDel="00000000">
              <w:rPr>
                <w:rtl w:val="0"/>
              </w:rPr>
              <w:t xml:space="preserve">208.</w:t>
            </w:r>
            <w:r w:rsidR="00000000" w:rsidRPr="00000000" w:rsidDel="00000000">
              <w:rPr>
                <w:rtl w:val="0"/>
              </w:rPr>
              <w:t xml:space="preserve"> </w:t>
            </w:r>
            <w:r w:rsidR="00000000" w:rsidRPr="00000000" w:rsidDel="00000000">
              <w:rPr>
                <w:rtl w:val="0"/>
              </w:rPr>
              <w:t xml:space="preserve">258.</w:t>
            </w:r>
            <w:r w:rsidR="00000000" w:rsidRPr="00000000" w:rsidDel="00000000">
              <w:rPr>
                <w:shd w:fill="#ffffff" w:val="clear"/>
                <w:rtl w:val="0"/>
              </w:rPr>
              <w:t xml:space="preserve"> </w:t>
            </w:r>
            <w:r w:rsidR="00000000" w:rsidRPr="00000000" w:rsidDel="00000000">
              <w:rPr>
                <w:rtl w:val="0"/>
              </w:rPr>
              <w:t xml:space="preserve">263.</w:t>
            </w:r>
            <w:r w:rsidR="00000000" w:rsidRPr="00000000" w:rsidDel="00000000">
              <w:rPr>
                <w:rtl w:val="0"/>
              </w:rPr>
              <w:t xml:space="preserve">292. </w:t>
            </w:r>
            <w:r w:rsidR="00000000" w:rsidRPr="00000000" w:rsidDel="00000000">
              <w:rPr>
                <w:rtl w:val="0"/>
              </w:rPr>
              <w:t xml:space="preserve"> </w:t>
            </w:r>
            <w:r w:rsidR="00000000" w:rsidRPr="00000000" w:rsidDel="00000000">
              <w:rPr>
                <w:rtl w:val="0"/>
              </w:rPr>
              <w:t xml:space="preserve">353.</w:t>
            </w:r>
            <w:r w:rsidR="00000000" w:rsidRPr="00000000" w:rsidDel="00000000">
              <w:rPr>
                <w:rtl w:val="0"/>
              </w:rPr>
              <w:t xml:space="preserve"> </w:t>
            </w:r>
            <w:r w:rsidR="00000000" w:rsidRPr="00000000" w:rsidDel="00000000">
              <w:rPr>
                <w:rtl w:val="0"/>
              </w:rPr>
              <w:t xml:space="preserve">374.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385.</w:t>
            </w:r>
            <w:r w:rsidR="00000000" w:rsidRPr="00000000" w:rsidDel="00000000">
              <w:rPr>
                <w:rtl w:val="0"/>
              </w:rPr>
              <w:t xml:space="preserve">391.</w:t>
            </w:r>
            <w:r w:rsidR="00000000" w:rsidRPr="00000000" w:rsidDel="00000000">
              <w:rPr>
                <w:rtl w:val="0"/>
              </w:rPr>
              <w:t xml:space="preserve">, </w:t>
            </w:r>
            <w:r w:rsidR="00000000" w:rsidRPr="00000000" w:rsidDel="00000000">
              <w:rPr>
                <w:rtl w:val="0"/>
              </w:rPr>
              <w:t xml:space="preserve">402.</w:t>
            </w:r>
            <w:r w:rsidR="00000000" w:rsidRPr="00000000" w:rsidDel="00000000">
              <w:rPr>
                <w:rtl w:val="0"/>
              </w:rPr>
              <w:t xml:space="preserve"> </w:t>
            </w:r>
            <w:r w:rsidR="00000000" w:rsidRPr="00000000" w:rsidDel="00000000">
              <w:rPr>
                <w:rtl w:val="0"/>
              </w:rPr>
              <w:t xml:space="preserve">408.</w:t>
            </w:r>
            <w:r w:rsidR="00000000" w:rsidRPr="00000000" w:rsidDel="00000000">
              <w:rPr>
                <w:rtl w:val="0"/>
              </w:rPr>
              <w:t xml:space="preserve">414.</w:t>
            </w:r>
            <w:r w:rsidR="00000000" w:rsidRPr="00000000" w:rsidDel="00000000">
              <w:rPr>
                <w:rtl w:val="0"/>
              </w:rPr>
              <w:t xml:space="preserve">, </w:t>
            </w:r>
            <w:r w:rsidR="00000000" w:rsidRPr="00000000" w:rsidDel="00000000">
              <w:rPr>
                <w:rtl w:val="0"/>
              </w:rPr>
              <w:t xml:space="preserve">420.</w:t>
            </w:r>
            <w:r w:rsidR="00000000" w:rsidRPr="00000000" w:rsidDel="00000000">
              <w:rPr>
                <w:rtl w:val="0"/>
              </w:rPr>
              <w:t xml:space="preserve">, </w:t>
            </w:r>
            <w:r w:rsidR="00000000" w:rsidRPr="00000000" w:rsidDel="00000000">
              <w:rPr>
                <w:rtl w:val="0"/>
              </w:rPr>
              <w:t xml:space="preserve">426.</w:t>
            </w:r>
            <w:r w:rsidR="00000000" w:rsidRPr="00000000" w:rsidDel="00000000">
              <w:rPr>
                <w:rtl w:val="0"/>
              </w:rPr>
              <w:t xml:space="preserve"> </w:t>
            </w:r>
            <w:r w:rsidR="00000000" w:rsidRPr="00000000" w:rsidDel="00000000">
              <w:rPr>
                <w:rtl w:val="0"/>
              </w:rPr>
              <w:t xml:space="preserve">432.</w:t>
            </w:r>
            <w:r w:rsidR="00000000" w:rsidRPr="00000000" w:rsidDel="00000000">
              <w:rPr>
                <w:rtl w:val="0"/>
              </w:rPr>
              <w:t xml:space="preserve">, </w:t>
            </w:r>
            <w:r w:rsidR="00000000" w:rsidRPr="00000000" w:rsidDel="00000000">
              <w:rPr>
                <w:rtl w:val="0"/>
              </w:rPr>
              <w:t xml:space="preserve">438.</w:t>
            </w:r>
            <w:r w:rsidR="00000000" w:rsidRPr="00000000" w:rsidDel="00000000">
              <w:rPr>
                <w:rtl w:val="0"/>
              </w:rPr>
              <w:t xml:space="preserve">,  </w:t>
            </w:r>
            <w:r w:rsidR="00000000" w:rsidRPr="00000000" w:rsidDel="00000000">
              <w:rPr>
                <w:rtl w:val="0"/>
              </w:rPr>
              <w:t xml:space="preserve">444.</w:t>
            </w:r>
            <w:r w:rsidR="00000000" w:rsidRPr="00000000" w:rsidDel="00000000">
              <w:rPr>
                <w:shd w:fill="#ffffff" w:val="clear"/>
                <w:rtl w:val="0"/>
              </w:rPr>
              <w:t xml:space="preserve"> </w:t>
            </w:r>
            <w:r w:rsidR="00000000" w:rsidRPr="00000000" w:rsidDel="00000000">
              <w:rPr>
                <w:rtl w:val="0"/>
              </w:rPr>
              <w:t xml:space="preserve">450.</w:t>
            </w:r>
            <w:r w:rsidR="00000000" w:rsidRPr="00000000" w:rsidDel="00000000">
              <w:rPr>
                <w:rtl w:val="0"/>
              </w:rPr>
              <w:t xml:space="preserve">456.</w:t>
            </w:r>
            <w:r w:rsidR="00000000" w:rsidRPr="00000000" w:rsidDel="00000000">
              <w:rPr>
                <w:rtl w:val="0"/>
              </w:rPr>
              <w:t xml:space="preserve">462.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468.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474.</w:t>
            </w:r>
            <w:r w:rsidR="00000000" w:rsidRPr="00000000" w:rsidDel="00000000">
              <w:rPr>
                <w:rtl w:val="0"/>
              </w:rPr>
              <w:t xml:space="preserve">480.</w:t>
            </w:r>
            <w:r w:rsidR="00000000" w:rsidRPr="00000000" w:rsidDel="00000000">
              <w:rPr>
                <w:rtl w:val="0"/>
              </w:rPr>
              <w:t xml:space="preserve">486.</w:t>
            </w:r>
            <w:r w:rsidR="00000000" w:rsidRPr="00000000" w:rsidDel="00000000">
              <w:rPr>
                <w:rtl w:val="0"/>
              </w:rPr>
              <w:t xml:space="preserve">492.</w:t>
            </w:r>
            <w:r w:rsidR="00000000" w:rsidRPr="00000000" w:rsidDel="00000000">
              <w:rPr>
                <w:rtl w:val="0"/>
              </w:rPr>
              <w:t xml:space="preserve">498.</w:t>
            </w:r>
            <w:r w:rsidR="00000000" w:rsidRPr="00000000" w:rsidDel="00000000">
              <w:rPr>
                <w:shd w:fill="#ffffff" w:val="clear"/>
                <w:rtl w:val="0"/>
              </w:rPr>
              <w:t xml:space="preserve"> </w:t>
            </w:r>
            <w:r w:rsidR="00000000" w:rsidRPr="00000000" w:rsidDel="00000000">
              <w:rPr>
                <w:rtl w:val="0"/>
              </w:rPr>
              <w:t xml:space="preserve">515.</w:t>
            </w:r>
            <w:r w:rsidR="00000000" w:rsidRPr="00000000" w:rsidDel="00000000">
              <w:rPr>
                <w:rtl w:val="0"/>
              </w:rPr>
              <w:t xml:space="preserve">520.</w:t>
            </w:r>
            <w:r w:rsidR="00000000" w:rsidRPr="00000000" w:rsidDel="00000000">
              <w:rPr>
                <w:rtl w:val="0"/>
              </w:rPr>
              <w:t xml:space="preserve">525.</w:t>
            </w:r>
            <w:r w:rsidR="00000000" w:rsidRPr="00000000" w:rsidDel="00000000">
              <w:rPr>
                <w:rtl w:val="0"/>
              </w:rPr>
              <w:t xml:space="preserve">530. </w:t>
            </w:r>
            <w:r w:rsidR="00000000" w:rsidRPr="00000000" w:rsidDel="00000000">
              <w:rPr>
                <w:rtl w:val="0"/>
              </w:rPr>
              <w:t xml:space="preserve">punkts</w:t>
            </w:r>
            <w:r w:rsidR="00000000" w:rsidRPr="00000000" w:rsidDel="00000000">
              <w:rPr>
                <w:rtl w:val="0"/>
              </w:rPr>
              <w:t xml:space="preserve"> ir spēkā līdz 2024.gada 31.decembrim.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noteikumu projekta 662. un 663.punktos starp cipariem norādīt pieturzīmes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1.3.sadaļas punktā “Risinājuma apraksts” (35.lpp) norādīto, ka Veselības ministrijas ieskatā mērķētās ultrasonogrāfijas veikšanai ir nepieciešams izstrādāt atsevišķu apmaksas tarifu un jautājums ir vērtējams Ministru kabineta 2018. gada 28. augusta noteikumu Nr. 555 "Veselības aprūpes pakalpojumu organizēšanas un samaksas kārtība" ietvarā, nepieciešams papildināt anotāciju, norādot, kādu līdzekļu ietvaros tas tiks nodrošināts.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26.03.2024.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26.03.2024.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Atzinumi_23-TA-3092.docx</dc:title>
</cp:coreProperties>
</file>

<file path=docProps/custom.xml><?xml version="1.0" encoding="utf-8"?>
<Properties xmlns="http://schemas.openxmlformats.org/officeDocument/2006/custom-properties" xmlns:vt="http://schemas.openxmlformats.org/officeDocument/2006/docPropsVTypes"/>
</file>