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3090A" w14:textId="77777777" w:rsidR="00CF3D5A" w:rsidRDefault="00CF3D5A" w:rsidP="00CF3D5A">
      <w:pPr>
        <w:rPr>
          <w:rFonts w:asciiTheme="minorHAnsi" w:hAnsiTheme="minorHAnsi" w:cstheme="minorBidi"/>
        </w:rPr>
      </w:pPr>
    </w:p>
    <w:p w14:paraId="4BCE93E8" w14:textId="77777777" w:rsidR="00CF3D5A" w:rsidRPr="00CF3D5A" w:rsidRDefault="00CF3D5A" w:rsidP="00CF3D5A">
      <w:pPr>
        <w:rPr>
          <w:rFonts w:eastAsia="Times New Roman"/>
          <w:lang w:eastAsia="lv-LV"/>
        </w:rPr>
      </w:pPr>
      <w:r w:rsidRPr="00CF3D5A">
        <w:rPr>
          <w:rFonts w:eastAsia="Times New Roman"/>
          <w:b/>
          <w:bCs/>
          <w:lang w:eastAsia="lv-LV"/>
        </w:rPr>
        <w:t>From:</w:t>
      </w:r>
      <w:r w:rsidRPr="00CF3D5A">
        <w:rPr>
          <w:rFonts w:eastAsia="Times New Roman"/>
          <w:lang w:eastAsia="lv-LV"/>
        </w:rPr>
        <w:t xml:space="preserve"> Sandis Vilcāns &lt;Sandis.Vilcans@tm.gov.lv&gt; </w:t>
      </w:r>
      <w:r w:rsidRPr="00CF3D5A">
        <w:rPr>
          <w:rFonts w:eastAsia="Times New Roman"/>
          <w:lang w:eastAsia="lv-LV"/>
        </w:rPr>
        <w:br/>
      </w:r>
      <w:r w:rsidRPr="00CF3D5A">
        <w:rPr>
          <w:rFonts w:eastAsia="Times New Roman"/>
          <w:b/>
          <w:bCs/>
          <w:lang w:eastAsia="lv-LV"/>
        </w:rPr>
        <w:t>Sent:</w:t>
      </w:r>
      <w:r w:rsidRPr="00CF3D5A">
        <w:rPr>
          <w:rFonts w:eastAsia="Times New Roman"/>
          <w:lang w:eastAsia="lv-LV"/>
        </w:rPr>
        <w:t xml:space="preserve"> Friday, May 7, 2021 4:47 PM</w:t>
      </w:r>
      <w:r w:rsidRPr="00CF3D5A">
        <w:rPr>
          <w:rFonts w:eastAsia="Times New Roman"/>
          <w:lang w:eastAsia="lv-LV"/>
        </w:rPr>
        <w:br/>
      </w:r>
      <w:r w:rsidRPr="00CF3D5A">
        <w:rPr>
          <w:rFonts w:eastAsia="Times New Roman"/>
          <w:b/>
          <w:bCs/>
          <w:lang w:eastAsia="lv-LV"/>
        </w:rPr>
        <w:t>To:</w:t>
      </w:r>
      <w:r w:rsidRPr="00CF3D5A">
        <w:rPr>
          <w:rFonts w:eastAsia="Times New Roman"/>
          <w:lang w:eastAsia="lv-LV"/>
        </w:rPr>
        <w:t xml:space="preserve"> Jānis Kalniņš &lt;Janis.Kalnins@sam.gov.lv&gt;; Satiksmes ministrija &lt;satiksmes.ministrija@sam.gov.lv&gt;</w:t>
      </w:r>
      <w:r w:rsidRPr="00CF3D5A">
        <w:rPr>
          <w:rFonts w:eastAsia="Times New Roman"/>
          <w:lang w:eastAsia="lv-LV"/>
        </w:rPr>
        <w:br/>
      </w:r>
      <w:r w:rsidRPr="00CF3D5A">
        <w:rPr>
          <w:rFonts w:eastAsia="Times New Roman"/>
          <w:b/>
          <w:bCs/>
          <w:lang w:eastAsia="lv-LV"/>
        </w:rPr>
        <w:t>Subject:</w:t>
      </w:r>
      <w:r w:rsidRPr="00CF3D5A">
        <w:rPr>
          <w:rFonts w:eastAsia="Times New Roman"/>
          <w:lang w:eastAsia="lv-LV"/>
        </w:rPr>
        <w:t xml:space="preserve"> Re: 5 dienu elektroniskai saskaņošanai projekts- VSS-942 "Ministru kabineta noteikumu projektu “Par transportlīdzekļa vadīšanu apreibinošu vielu ietekmē sodītas personas uzvedības korekcijas programmas noteikumi”</w:t>
      </w:r>
    </w:p>
    <w:p w14:paraId="4F0D0BDD" w14:textId="77777777" w:rsidR="00CF3D5A" w:rsidRDefault="00CF3D5A" w:rsidP="00CF3D5A"/>
    <w:p w14:paraId="428CFC4B" w14:textId="77777777" w:rsidR="00CF3D5A" w:rsidRDefault="00CF3D5A" w:rsidP="00CF3D5A">
      <w:pPr>
        <w:pStyle w:val="NormalWeb"/>
        <w:ind w:firstLine="720"/>
        <w:jc w:val="both"/>
      </w:pPr>
      <w:r>
        <w:t>Labdien!</w:t>
      </w:r>
    </w:p>
    <w:p w14:paraId="35B7AF60" w14:textId="77777777" w:rsidR="00CF3D5A" w:rsidRDefault="00CF3D5A" w:rsidP="00CF3D5A">
      <w:pPr>
        <w:pStyle w:val="NormalWeb"/>
        <w:ind w:firstLine="720"/>
        <w:jc w:val="both"/>
        <w:rPr>
          <w:color w:val="000000"/>
          <w:lang/>
        </w:rPr>
      </w:pPr>
      <w:r>
        <w:rPr>
          <w:lang/>
        </w:rPr>
        <w:t xml:space="preserve">Tieslietu ministrija ir izskatījusi Satiksmes ministrijas sagatavoto Ministru kabineta noteikumu "Par transportlīdzekļa vadīšanu apreibinošu vielu ietekmē sodītas personas uzvedības korekcijas programmas noteikumi" precizēto projektu (turpmāk – projekts) un atbalsta tā tālāku virzību, izsakot šādus </w:t>
      </w:r>
      <w:r>
        <w:rPr>
          <w:b/>
          <w:bCs/>
          <w:lang/>
        </w:rPr>
        <w:t>iebildumus</w:t>
      </w:r>
      <w:r>
        <w:rPr>
          <w:lang/>
        </w:rPr>
        <w:t>:</w:t>
      </w:r>
      <w:r>
        <w:rPr>
          <w:color w:val="000000"/>
          <w:lang/>
        </w:rPr>
        <w:t xml:space="preserve"> </w:t>
      </w:r>
    </w:p>
    <w:p w14:paraId="62CFBF74"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 Tieslietu ministrijas 2020. gada 27. novembra atzinuma Nr. 1-9.1/1266 1. punktā norādīts, ka Ministru kabinetam ir pienākums noteikt apmaksas kārtību, tostarp arī maksas apmēru. Tāpat šā atzinuma 3.5. apakšpunktā ir minēta nepieciešamība izvērtēt pastāvošo tiesisko attiecību raksturu, no kā lielā mērā ir atkarīgs viss projektā esošais regulējums. Šos iebildumus Tieslietu ministrija uztur. Papildus iepriekšējā atzinumā minētajam norādām vēl vairākus apsvērumus.</w:t>
      </w:r>
    </w:p>
    <w:p w14:paraId="56F0AD37"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1.1. Projekta anotācijā norādīts: "Tāpat komisija arī varētu vērtēt komersanta sniegtā pakalpojuma maksas apmēru, lai nodrošinātu, ka pakalpojuma sniedzējs nepieprasītu samaksu nesamērīgā apmērā, tādējādi ierobežojot privātpersonas tiesības atgūt transportlīdzekļa vadīšanas tiesības." Tas, pirmkārt, neatbilst projektā ietvertajam regulējumam, un, otrkārt, neatbilst arī privāttiesisko attiecību raksturam, kas šķietami ir projektā paredzētā regulējuma pamatā.</w:t>
      </w:r>
    </w:p>
    <w:p w14:paraId="6A31FC48"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1.2. Izziņā norādīts, ka "maksu nosaka grupas organizētājs (tirgus). Vienlaikus, ar mērķi aizsargāt vadītāja tiesības, ir noteiktas apmaksas veikšanas procedūras. Vēršam uzmanība, ka lielu daļu ar vadīšanas tiesību iegūšanas vai atgūšanas procedūrām (pakalpojumiem) noteiktās maksas nosaka šo pakalpojumu sniedzēji paši un tās nav noteiktas Ministru kabineta līmenī, piemēram – apmācības maksas autoskolās, veselības pārbaužu maksas, Pirmās palīdzības apmācības maksas, pirmstermiņa veselības pārbaužu maksas." Šajā gadījumā nav nozīmes tam, kāds maksāšanas regulējums ir saistībā ar citiem pakalpojumiem. Katrā tiesību aktā nepieciešams atsevišķs izvērtējums. Citus pakalpojumus kā piemēru varētu izmantot vienīgi tad, ja to regulējums tieši konkrētajos aspektos būtu vērtēts Satversmes tiesā, Senātā vai vismaz citā tiesā.</w:t>
      </w:r>
    </w:p>
    <w:p w14:paraId="1AA8462D"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1.3. Minētais jautājums ir cieši saistīts arī ar to, ka joprojām ne projekta anotācijā, ne arī izziņā nav atrodams skaidrojums, kādas tieši tiesiskās attiecības (publiski tiesiskas vai privāttiesiskas) pastāv starp valsti un uzvedības korekcijas programmas grupu nodarbību organizētāju, kā arī starp organizētāju un transportlīdzekļa vadītāju. No tā ir atkarīga gan organizētāja izvēles procedūra, gan arī pakalpojuma apmaksa. No projekta satura un izziņas izriet, ka nav atbalstīts Tieslietu ministrijas viedoklis, kas vairākkārt tika izteikts jau projekta sagatavošanas laikā, ka šajā gadījumā pastāv publiski tiesiskas attiecības un organizētājs sniedz pakalpojumu, veicot pārvaldes uzdevumu. Tomēr, lai varētu pārliecināties par privāttiesisku attiecību pieļaujamību un organizētāju izvēles procedūras regulējuma tiesiskumu, ir nepieciešams juridisks un argumentēts skaidrojums par tiesisko attiecību raksturu. Judikatūra un tiesību doktrīna par šiem jautājumiem ir plaša, kas ļauj detalizēti izvērtēt un pamatot tiesisko attiecību raksturu (</w:t>
      </w:r>
      <w:r>
        <w:rPr>
          <w:rFonts w:ascii="Times New Roman" w:hAnsi="Times New Roman" w:cs="Times New Roman"/>
          <w:i/>
          <w:iCs/>
          <w:color w:val="000000"/>
          <w:sz w:val="24"/>
          <w:szCs w:val="24"/>
          <w:lang/>
        </w:rPr>
        <w:t>sk., piemēram, Danovskis E. Publisko un privāto tiesību dalījuma nozīme un piemērošanas problēmas Latvijā. Rīga: Latvijas Vēstnesis, 2015; Briede J., Danovskis E., Kovaļevska A. Administratīvās tiesības. Rīga: Tiesu namu aģentūra, 2021, 23.-28. lpp.</w:t>
      </w:r>
      <w:r>
        <w:rPr>
          <w:rFonts w:ascii="Times New Roman" w:hAnsi="Times New Roman" w:cs="Times New Roman"/>
          <w:color w:val="000000"/>
          <w:sz w:val="24"/>
          <w:szCs w:val="24"/>
          <w:lang/>
        </w:rPr>
        <w:t>).</w:t>
      </w:r>
    </w:p>
    <w:p w14:paraId="4498F507" w14:textId="77777777" w:rsidR="00CF3D5A" w:rsidRDefault="00CF3D5A" w:rsidP="00CF3D5A">
      <w:pPr>
        <w:ind w:firstLine="720"/>
        <w:jc w:val="both"/>
        <w:rPr>
          <w:rFonts w:ascii="Times New Roman" w:hAnsi="Times New Roman" w:cs="Times New Roman"/>
          <w:i/>
          <w:iCs/>
          <w:color w:val="000000"/>
          <w:sz w:val="24"/>
          <w:szCs w:val="24"/>
          <w:lang/>
        </w:rPr>
      </w:pPr>
    </w:p>
    <w:p w14:paraId="3AFCEEBA"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2. Lūdzam atkārtoti izvērtēt procedūru, kādā transportlīdzekļa vadītāju informē par to, ka transportlīdzekļa vadīšanas tiesības var atgūt tikai pēc dalības uzvedības korekcijas programmā.</w:t>
      </w:r>
    </w:p>
    <w:p w14:paraId="145F1F9A"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2.1. Tieslietu ministrijas 2020. gada 27. novembra atzinuma Nr. 1-9.1/1266 3.2. apakšpunktā bija ietverts lūgums izvērtēt, vai specializētās medicīniskās komisijas pienākums informēt transportlīdzekļa vadītāju nebūtu ietverams Ministru kabineta 2011. gada 6. decembra </w:t>
      </w:r>
      <w:r>
        <w:rPr>
          <w:rFonts w:ascii="Times New Roman" w:hAnsi="Times New Roman" w:cs="Times New Roman"/>
          <w:color w:val="000000"/>
          <w:sz w:val="24"/>
          <w:szCs w:val="24"/>
          <w:lang/>
        </w:rPr>
        <w:lastRenderedPageBreak/>
        <w:t>noteikumos Nr. 940 "Noteikumi par veselības pārbaudēm transportlīdzekļu vadītājiem un personām, kuras vēlas iegūt transportlīdzekļu vadītāju kvalifikāciju, kā arī par pirmstermiņa veselības pārbaudes izdevumu segšanas kārtību". Lai arī izziņā norādīts, ka attiecīgais iebildums ir ņemts vērā, šāds izvērtējums nav atrodams. Turklāt šobrīd projekta 2., 3. un 4. punktā ir regulēta arī specializētās medicīniskās komisijas atzinuma sagatavošana (aprite), kas noteikti nav šajā projektā regulējams jautājums.</w:t>
      </w:r>
    </w:p>
    <w:p w14:paraId="204C1C1B"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2.2. Projekta 3. un 4. punkta regulējums liecina par to, ka ir iecerēta tikai elektronisko dokumentu aprite. Projekta anotācijā nav skaidrojuma par šo punktu mērķi vai ierobežojuma nepieciešamību. Neatbalstām šādu ierobežojumu. Turklāt ne visām personām ir iespējams paziņot informāciju elektroniski. </w:t>
      </w:r>
    </w:p>
    <w:p w14:paraId="22DF0463"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Kopumā projektā nav nepieciešams īpaši regulēt dokumentu paziņošanu. Iestādes un privātpersonas publiski tiesiskajās attiecībās informācijas paziņošana jau ir pietiekami reglamentēta (sk., piemēram, Paziņošanas likumu). Projektā pietiek noteikt, kurai institūcijai (personai) ir pienākums informēt transportlīdzekļa vadītāju.</w:t>
      </w:r>
    </w:p>
    <w:p w14:paraId="60B815DE"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Saistībā ar citiem informēšanas veidiem izziņā norādīts: "</w:t>
      </w:r>
      <w:r>
        <w:rPr>
          <w:rFonts w:ascii="Times New Roman" w:hAnsi="Times New Roman" w:cs="Times New Roman"/>
          <w:sz w:val="24"/>
          <w:szCs w:val="24"/>
          <w:lang/>
        </w:rPr>
        <w:t>[U]</w:t>
      </w:r>
      <w:r>
        <w:rPr>
          <w:rFonts w:ascii="Times New Roman" w:hAnsi="Times New Roman" w:cs="Times New Roman"/>
          <w:color w:val="000000"/>
          <w:sz w:val="24"/>
          <w:szCs w:val="24"/>
          <w:lang/>
        </w:rPr>
        <w:t xml:space="preserve">zliekot CSDD par pienākumu e-pakalpojumu sistēmā informēt vadītāju, tiktu aptverta tika daļa vadītāju – tikai tie, kas vienlaikus reģistrējušies e-pakalpojumu sistēmā un piekrituši paziņojumu saņemšanai. Līdzīga situācija tikai konstatēta attiecībā uz traktortehnikas vadītājiem un  informācijas sūtīšanu tiem, izmantojot   Lauku atbalsta dienesta elektronisko e-pakalpojumu sistēmu. Bez tam informācijas nosūtīšana būtu atkarīga no tā, cik kvalitatīvi un vai specializētā medicīniskā komisija attiecīgi CSDD vai Lauku atbalsta dienestam nodod informāciju par atzinumu. Tādējādi transportlīdzekļu vadītāji, kas nav reģistrējušies iepriekšminētajās sistēmās tiktu nostādīti nevienlīdzīgā situācijā attiecībā pret tiem vadītājiem, kas to ir izdarījuši." </w:t>
      </w:r>
    </w:p>
    <w:p w14:paraId="112BBF91"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Nav pamata runāt par nevienlīdzīgu situāciju, ja izmanto katrā gadījumā efektīvāko paziņošanas veidu. Tas nekādi nemaina pienākumu paziņot attiecīgo informāciju visām personām. Turklāt iepriekš minētos informēšanas veidus ir iespējams izmantot kā papildu informēšanas veidu, neatceļot specializētās medicīniskās komisijas pienākumu. Tādējādi izsakām priekšlikumu neizslēgt iespēju izmantot arī citus (papildu) informēšanas līdzekļus.</w:t>
      </w:r>
    </w:p>
    <w:p w14:paraId="5660CFF4" w14:textId="77777777" w:rsidR="00CF3D5A" w:rsidRDefault="00CF3D5A" w:rsidP="00CF3D5A">
      <w:pPr>
        <w:ind w:firstLine="720"/>
        <w:jc w:val="both"/>
        <w:rPr>
          <w:rFonts w:ascii="Times New Roman" w:hAnsi="Times New Roman" w:cs="Times New Roman"/>
          <w:color w:val="000000"/>
          <w:sz w:val="24"/>
          <w:szCs w:val="24"/>
          <w:lang/>
        </w:rPr>
      </w:pPr>
    </w:p>
    <w:p w14:paraId="5B1698E8"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3. No projekta regulējuma nav saprotams, kāda ir atsevišķu uzvedības korekcijas programmas grupu nodarbību organizētājam un speciālistam (organizētāja personālam) noteikto kritēriju nozīme. Tāpat projekta anotācijā nav raksturots šo kritēriju saturs (piemēram, kādi elementi tiks vērtēti, kāds ir kritēriju mērķis; iekļauta vien norāde par kritēriju būtiskumu un citādākās pieejas nepieciešamību).</w:t>
      </w:r>
    </w:p>
    <w:p w14:paraId="0CF4F13F"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Projekta 6.2. apakšpunktā šķietami paredzēta prasība par personālu, kam ir noteikta izglītība un pieredze. Projekta 9.2. apakšpunktā turpretī pieredze ir tikai vēlama. Savukārt projekta anotācijā norādīts, ka "[ļ]oti būtiska ir uzvedības korekcijas grupu vadītāja klīniskās un veselības psiholoģiskā izglītība, kā arī iepriekšējā pieredze ar cilvēkiem ar atkarību, jo nepieciešama pavisam citādāka pieeja, ņemot vērā, ka cilvēkiem ar atkarībām ir raksturīga noliegšanas forma". Tādējādi projekta regulējums ir savstarpēji pretrunīgs, kā arī projekta anotācija neatbilst projektam. Vienlaikus, kā jau minēts iepriekšējā Tieslietu ministrijas atzinumā, vēlamības formā izteikta prasība rada jautājumu, kāda ir šīs prasības nozīme. Ja projektā paredz pieredzes nepieciešamību, tad tai jābūt pietiekami konkrēti noteiktai un tam nepieciešams pamatojums. Piemēram, izziņā ir minēts, ka speciālistam ir vēlama trīs gadu pieredze. Ja paredz tieši šādu termiņu, tad projekta anotācijā iekļaujams pamatojums, kāpēc ir nepieciešama tieši trīs gadu pieredze.</w:t>
      </w:r>
    </w:p>
    <w:p w14:paraId="2BD7C61F" w14:textId="77777777" w:rsidR="00CF3D5A" w:rsidRDefault="00CF3D5A" w:rsidP="00CF3D5A">
      <w:pPr>
        <w:ind w:firstLine="720"/>
        <w:jc w:val="both"/>
        <w:rPr>
          <w:rFonts w:ascii="Times New Roman" w:hAnsi="Times New Roman" w:cs="Times New Roman"/>
          <w:color w:val="000000"/>
          <w:sz w:val="24"/>
          <w:szCs w:val="24"/>
          <w:lang/>
        </w:rPr>
      </w:pPr>
    </w:p>
    <w:p w14:paraId="0FD84AA3"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4. Projekta 11. punktā paredzēts: "Ja organizētājs nepiekrīt komisijas lēmumam, tas 10 dienu laikā pēc komisijas lēmuma saņemšanas vēršas komisijā ar rakstisku iesniegumu. Komisijai pēc iesnieguma saņemšanas 30 dienu laikā atkārtoti izvērtē un pieņem lēmumu par organizētāja atbilstību prasībām."</w:t>
      </w:r>
    </w:p>
    <w:p w14:paraId="77B40B9B"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Komisijas lēmumi apstrīdami un pārsūdzami administratīvā procesa kārtībā. Tam nav nepieciešams īpašs regulējums projektā, un Ministru kabineta noteikumi arī nevarētu paredzēt </w:t>
      </w:r>
      <w:r>
        <w:rPr>
          <w:rFonts w:ascii="Times New Roman" w:hAnsi="Times New Roman" w:cs="Times New Roman"/>
          <w:color w:val="000000"/>
          <w:sz w:val="24"/>
          <w:szCs w:val="24"/>
          <w:lang/>
        </w:rPr>
        <w:lastRenderedPageBreak/>
        <w:t>regulējumu, kas neatbilst vispārīgajam procesa regulējumam. Attiecīgu skaidrojumu par apstrīdēšanas vai pārsūdzēšanas kārtību var ietvert projekta anotācijā.</w:t>
      </w:r>
    </w:p>
    <w:p w14:paraId="512E2295" w14:textId="77777777" w:rsidR="00CF3D5A" w:rsidRDefault="00CF3D5A" w:rsidP="00CF3D5A">
      <w:pPr>
        <w:ind w:firstLine="720"/>
        <w:jc w:val="both"/>
        <w:rPr>
          <w:rFonts w:ascii="Times New Roman" w:hAnsi="Times New Roman" w:cs="Times New Roman"/>
          <w:color w:val="000000"/>
          <w:sz w:val="24"/>
          <w:szCs w:val="24"/>
          <w:lang/>
        </w:rPr>
      </w:pPr>
    </w:p>
    <w:p w14:paraId="71F18FE8"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5. Tieslietu ministrijas 2020. gada 27. novembra atzinuma Nr. 1-9.1/1266 4. punktā bija norādīts, ka projektā nepieciešams ietvert regulējumu par to, cik ātrā laikā personai ir pieejams pakalpojums. Personai jāspēj paredzēt, cik ilgā laikā pēc pieteikšanās tā būs izpildījusi priekšnoteikumus transportlīdzekļa vadīšanas tiesību atgūšanai. Tātad no projekta jāizriet gan paredzamam nodarbību sākuma laikam, gan programmas norises maksimālajam ilgumam.</w:t>
      </w:r>
    </w:p>
    <w:p w14:paraId="5B2AB90E"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Šobrīd projekta 16. punktā ir noteikts programmas maksimālais ilgums. Tomēr par programmas grupu nodarbību sākumu projekta 17. punktā ir vienīgi paredzēts, ka organizētājam ir pienākums 5 darba dienu laikā informēt transportlīdzekļa vadītāju par nākamo uzvedības korekcijas programmas grupas nodarbību sākuma datumu un laiku. Šāds regulējums nenodrošina, ka ikvienai personai ir saprātīgā laikposmā pieejama iespēja piedalīties programmā.</w:t>
      </w:r>
    </w:p>
    <w:p w14:paraId="110A3F02" w14:textId="77777777" w:rsidR="00CF3D5A" w:rsidRDefault="00CF3D5A" w:rsidP="00CF3D5A">
      <w:pPr>
        <w:ind w:firstLine="720"/>
        <w:jc w:val="both"/>
        <w:rPr>
          <w:rFonts w:ascii="Times New Roman" w:hAnsi="Times New Roman" w:cs="Times New Roman"/>
          <w:color w:val="000000"/>
          <w:sz w:val="24"/>
          <w:szCs w:val="24"/>
          <w:lang/>
        </w:rPr>
      </w:pPr>
    </w:p>
    <w:p w14:paraId="511FD8F0"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6. Projekta 20. punktā paredzēts: "Transportlīdzekļa vadītājam, kurš pilnā apjomā ir apmeklējis uzvedības korekcijas programmas grupu nodarbības, organizētājs izsniedz izziņu par uzvedības korekcijas programmas grupu nodarbībās apgūtajām tēmām un apmeklētajām nodarbībām, kas apliecina, ka transportlīdzekļa vadītājs ir noklausījies uzvedības korekcijas programmu, kas nepieciešama, lai Transportlīdzekļu un to vadītāju valsts reģistra vai traktortehnikas un tās vadītāju valsts informatīvās sistēmas pārraudzības institūcija izdarītu atzīmi par uzvedības korekcijas programmas pabeigšanu."</w:t>
      </w:r>
    </w:p>
    <w:p w14:paraId="4DD24548"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Nav skaidrs, kā tieši tiks izdarīta atzīme par uzvedības korekcijas programmas pabeigšanu Transportlīdzekļu un to vadītāju valsts reģistrā vai traktortehnikas un tās vadītāju valsts informatīvajā sistēmā. Informācija nav atrodama arī projekta anotācijā. Ja tiek izdarīta atzīme informācijas sistēmās, tad nav skaidrs, kāpēc ir nepieciešama arī izziņa.</w:t>
      </w:r>
    </w:p>
    <w:p w14:paraId="16B8A9AF"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Vienlaikus norma ir grūti uztverama (pārlieku garš teikums).</w:t>
      </w:r>
    </w:p>
    <w:p w14:paraId="45525FD6" w14:textId="77777777" w:rsidR="00CF3D5A" w:rsidRDefault="00CF3D5A" w:rsidP="00CF3D5A">
      <w:pPr>
        <w:ind w:firstLine="720"/>
        <w:jc w:val="both"/>
        <w:rPr>
          <w:rFonts w:ascii="Times New Roman" w:hAnsi="Times New Roman" w:cs="Times New Roman"/>
          <w:color w:val="000000"/>
          <w:sz w:val="24"/>
          <w:szCs w:val="24"/>
          <w:lang/>
        </w:rPr>
      </w:pPr>
    </w:p>
    <w:p w14:paraId="0433769A"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7. Projekta 26. punktā paredzēts, ka šie noteikumi stājas spēkā 2022. gada 1. janvārī. Saskaņā ar Ceļu satiksmes likuma pārejas noteikumu 47. punktu šā likuma 22. panta pirmās daļas 3.</w:t>
      </w:r>
      <w:r>
        <w:rPr>
          <w:rFonts w:ascii="Times New Roman" w:hAnsi="Times New Roman" w:cs="Times New Roman"/>
          <w:color w:val="000000"/>
          <w:sz w:val="24"/>
          <w:szCs w:val="24"/>
          <w:vertAlign w:val="superscript"/>
          <w:lang/>
        </w:rPr>
        <w:t>1</w:t>
      </w:r>
      <w:r>
        <w:rPr>
          <w:rFonts w:ascii="Times New Roman" w:hAnsi="Times New Roman" w:cs="Times New Roman"/>
          <w:color w:val="000000"/>
          <w:sz w:val="24"/>
          <w:szCs w:val="24"/>
          <w:lang/>
        </w:rPr>
        <w:t> punkts stājas spēkā 2021. gada 1. janvārī. Savukārt šā likuma pārejas noteikumu 48. punkts noteica Ministru kabinetam pienākumu izdot Ministru kabineta noteikumus līdz 2020. gada 31. decembrim. Līdz ar to Ministru kabineta noteikumiem, respektīvi, projektam, bija jāstājas spēkā vienlaikus ar attiecīgajiem grozījumiem Ceļu satiksmes likumā, lai nodrošinātu likuma īstenošanas mehānismu. Tādējādi projekta 26. punkts ir svītrojams.</w:t>
      </w:r>
    </w:p>
    <w:p w14:paraId="4559ADF6"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Projekta anotācijā norādīts: "Saskaņā ar Ceļu satiksmes likuma Pārejas noteikumu 47. punktu likuma 22. panta pirmās daļas 3.</w:t>
      </w:r>
      <w:r>
        <w:rPr>
          <w:rFonts w:ascii="Times New Roman" w:hAnsi="Times New Roman" w:cs="Times New Roman"/>
          <w:color w:val="000000"/>
          <w:sz w:val="24"/>
          <w:szCs w:val="24"/>
          <w:vertAlign w:val="superscript"/>
          <w:lang/>
        </w:rPr>
        <w:t>1</w:t>
      </w:r>
      <w:r>
        <w:rPr>
          <w:rFonts w:ascii="Times New Roman" w:hAnsi="Times New Roman" w:cs="Times New Roman"/>
          <w:color w:val="000000"/>
          <w:sz w:val="24"/>
          <w:szCs w:val="24"/>
          <w:lang/>
        </w:rPr>
        <w:t> punkts (Transportlīdzekļa vadītājs, kurš sodīts par transportlīdzekļa vadīšanu alkohola reibumā vai narkotisko vai citu apreibinošo vielu ietekmē un kuram pirmstermiņa veselības pārbaudē nekonstatē alkohola, narkotisko vai psihotropo vielu pārmērīgu, kaitējošu lietošanu vai atkarību, transportlīdzekļu vadīšanas tiesības var atgūt tikai pēc dalības uzvedības korekcijas programmā) stājas spēkā 2021. gada 1. janvārī, savukārt Oficiālo publikāciju un tiesiskās informācijas likuma 9. panta ceturtā daļa nosaka, ka normatīvajam aktam vai tā daļai nav atpakaļejoša spēka, izņemot likumā īpaši paredzētus gadījumus. Līdz ar to Noteikumu projekta regulējums tiks attiecināts uz personām, kuras tiks sodītas par transportlīdzekļa vadīšanu apreibinošo vielu ietekmē pēc 2021. gada 1. janvāra un kuras vēlēsies atgūt transportlīdzekļu vadīšanas tiesības."</w:t>
      </w:r>
    </w:p>
    <w:p w14:paraId="1C73A32A"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Pat ja vērtētu visas tiesiskās attiecības, kas rodas sākot no soda piemērošanas, kā vienotu kopumu, šajā gadījumā ir apšaubāms apgalvojums par atpakaļejošu spēku. Konkrētajā situācijā Ceļu satiksmes likuma 22. panta pirmās daļas 3.</w:t>
      </w:r>
      <w:r>
        <w:rPr>
          <w:rFonts w:ascii="Times New Roman" w:hAnsi="Times New Roman" w:cs="Times New Roman"/>
          <w:color w:val="000000"/>
          <w:sz w:val="24"/>
          <w:szCs w:val="24"/>
          <w:vertAlign w:val="superscript"/>
          <w:lang/>
        </w:rPr>
        <w:t>1</w:t>
      </w:r>
      <w:r>
        <w:rPr>
          <w:rFonts w:ascii="Times New Roman" w:hAnsi="Times New Roman" w:cs="Times New Roman"/>
          <w:color w:val="000000"/>
          <w:sz w:val="24"/>
          <w:szCs w:val="24"/>
          <w:lang/>
        </w:rPr>
        <w:t> punkts visticamāk ir ar tūlītēju spēku laikā pieņemta tiesību norma. Proti, pieņemtais regulējums ietekmē tiesiskās attiecības, kas radušās pagātnē, taču turpinās pēc jaunā regulējuma spēkā stāšanās (</w:t>
      </w:r>
      <w:r>
        <w:rPr>
          <w:rFonts w:ascii="Times New Roman" w:hAnsi="Times New Roman" w:cs="Times New Roman"/>
          <w:i/>
          <w:iCs/>
          <w:color w:val="000000"/>
          <w:sz w:val="24"/>
          <w:szCs w:val="24"/>
          <w:lang/>
        </w:rPr>
        <w:t>Onževs M. Tiesību normu laika aspekti tiesiskā un demokrātiskā valstī. Rīga: Latvijas Vēstnesis, 2016, 189. lpp.</w:t>
      </w:r>
      <w:r>
        <w:rPr>
          <w:rFonts w:ascii="Times New Roman" w:hAnsi="Times New Roman" w:cs="Times New Roman"/>
          <w:color w:val="000000"/>
          <w:sz w:val="24"/>
          <w:szCs w:val="24"/>
          <w:lang/>
        </w:rPr>
        <w:t>). Līdz ar to nav saskatāms pamatojums projekta anotācijā norādītajam apgalvojumam, ka projekta regulējums attiecināms uz personām, kuras tiks sodītas par transportlīdzekļa vadīšanu apreibinošo vielu ietekmē pēc 2021. gada 1. janvāra un kuras vēlēsies atgūt transportlīdzekļu vadīšanas tiesības.</w:t>
      </w:r>
    </w:p>
    <w:p w14:paraId="1B475235"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lastRenderedPageBreak/>
        <w:t>Ievērojot minēto, lūdzam precizēt skaidrojumu projekta anotācijā.</w:t>
      </w:r>
    </w:p>
    <w:p w14:paraId="1A298DD4" w14:textId="77777777" w:rsidR="00CF3D5A" w:rsidRDefault="00CF3D5A" w:rsidP="00CF3D5A">
      <w:pPr>
        <w:ind w:firstLine="720"/>
        <w:jc w:val="both"/>
        <w:rPr>
          <w:rFonts w:ascii="Times New Roman" w:hAnsi="Times New Roman" w:cs="Times New Roman"/>
          <w:color w:val="000000"/>
          <w:sz w:val="24"/>
          <w:szCs w:val="24"/>
          <w:lang/>
        </w:rPr>
      </w:pPr>
    </w:p>
    <w:p w14:paraId="4732B7EF"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8. Lūdzam novērst projekta neatbilstību Ministru kabineta 2009. gada 3. februāra noteikumu Nr. 108 "Normatīvo aktu projektu sagatavošanas noteikumi" un vispārīgajām juridiskās tehnikas prasībām.</w:t>
      </w:r>
    </w:p>
    <w:p w14:paraId="7FC73552"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8.1. Saskaņā ar Ministru kabineta 2009. gada 3. februāra noteikumu Nr. 108 "Normatīvo aktu projektu sagatavošanas noteikumi" 2.1. apakšpunktu normatīvā akta tekstu raksta iespējami lakonisku. Projekta II, III un IV nodaļas nosaukumā nav nepieciešams vārds "kārtība" (organizēšana, norise un apmaksa pati par sevi jau ir "kārtība").</w:t>
      </w:r>
    </w:p>
    <w:p w14:paraId="18558167"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8.2. Projekta 2. punktā nav nepieciešams un nav ieteicams ietvert atsauci uz konkrētiem Ministru kabineta noteikumiem. Pat ja nav skaidrs, kas domāts ar vārdiem "specializētā medicīniskā komisija", to var raksturot aprakstoši, neizmantojot šādas atsauces. Līdzīgi apsvērumi jau ir norādīti izziņā minētajā Zemkopības ministrijas priekšlikumā.</w:t>
      </w:r>
    </w:p>
    <w:p w14:paraId="23521493"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8.3. Joprojām nav pilnībā skaidra sistēma, kādā secībā ir izkārtotas projekta vienības. Saskaņā ar Ministru kabineta 2009. gada 3. februāra noteikumu Nr. 108 "Normatīvo aktu projektu sagatavošanas noteikumi" 2.4. apakšpunktu normatīvā akta projekta tekstu raksta, izklāstot to loģiskā secībā. Piemēram, projekta 5. punktā ir regulēta līdz šai projekta vienībai vēl nezināmas komisijas izveidošana. Nav nedz skaidrs, kas tā ir par komisiju un kāpēc projektā tāda vispār nepieciešama. Savukārt uzvedības korekcijas programmas uzdevumi ir ietverti starp organizētāju atlases procedūras regulējumu.</w:t>
      </w:r>
    </w:p>
    <w:p w14:paraId="1EEC222C"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8.4. Projekta 6.2. apakšpunktā ir ietverta neprecīza atsauce (projekta 10. punktā nav noteiktas izglītības un pieredzes prasības), kā arī apšaubāma šādas atsauces nepieciešamība. Tāpat projekta 6. punkta regulējums nav redakcionāli saskaņots ar projekta 9. punktu (dažādas vārdiskās izteiksmes – "personāls", "speciālists")</w:t>
      </w:r>
    </w:p>
    <w:p w14:paraId="63E7B27F"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Projekta 6. punktā precizējams arī izveidotais saīsinājums. Tas iekļaujams punkta ievaddaļā.</w:t>
      </w:r>
    </w:p>
    <w:p w14:paraId="4AB79B09"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8.5. Projektā ir pieļaujams veidot iekšējās atsauces, t. i., atsauces uz citām projekta vienībām. Iekšējās atsauces ir paredzētas tam, lai nebūtu atkārtoti jāraksta viens un tas pats regulējums vairākās vietās (</w:t>
      </w:r>
      <w:r>
        <w:rPr>
          <w:rFonts w:ascii="Times New Roman" w:hAnsi="Times New Roman" w:cs="Times New Roman"/>
          <w:i/>
          <w:iCs/>
          <w:color w:val="000000"/>
          <w:sz w:val="24"/>
          <w:szCs w:val="24"/>
          <w:lang/>
        </w:rPr>
        <w:t xml:space="preserve">sal. Normatīvo aktu projektu izstrādes rokasgrāmata, </w:t>
      </w:r>
      <w:hyperlink r:id="rId6" w:history="1">
        <w:r>
          <w:rPr>
            <w:rStyle w:val="Hyperlink"/>
            <w:i/>
            <w:iCs/>
            <w:color w:val="000000"/>
            <w:sz w:val="24"/>
            <w:szCs w:val="24"/>
            <w:lang/>
          </w:rPr>
          <w:t>https://tai.mk.gov.lv/book/1/chapter/98</w:t>
        </w:r>
      </w:hyperlink>
      <w:r>
        <w:rPr>
          <w:rFonts w:ascii="Times New Roman" w:hAnsi="Times New Roman" w:cs="Times New Roman"/>
          <w:color w:val="000000"/>
          <w:sz w:val="24"/>
          <w:szCs w:val="24"/>
          <w:lang/>
        </w:rPr>
        <w:t>). Tomēr atsauces ir jālieto saprātīgi un pamatoti. Nav nepieciešamas tāda veida atsauces, lai identificētu komisiju, organizētāju, kritērijus u. tml. Tas jānodrošina pašam projekta tekstam (tā skaidrībai) un projekta struktūrai. Ievērojot minēto, pārskatāma atsauču nepieciešamība projektā (piemēram, projekta 6., 7., 8. punkts) un pārbaudāms, vai esošās atsauces norāda uz atbilstošo projekta vienību.</w:t>
      </w:r>
    </w:p>
    <w:p w14:paraId="00C38D80"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8.6. Projekta 11. punktā ir ietvertas vairākas patstāvīgas normas. Vienā projekta punktā iekļaujama tikai viena tiesību norma. Tāpat nav skaidra projekta 11. punktā lietoto vārdu "trūkumi" un "nepilnības" atšķirība.</w:t>
      </w:r>
    </w:p>
    <w:p w14:paraId="69182A2F"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8.7. Lūdzam projekta 18. punktā neizmantot sarunvalodā lietotu izteiksmi "programma nav izieta".</w:t>
      </w:r>
    </w:p>
    <w:p w14:paraId="5F17403D"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8.8. Lūdzam izvērtēt termina "darba diena" lietojumu projektā (piemēram, projekta 17., 23., 24. punkts). Ja ar terminu "darba diena" apzīmē dienu, kurā faktiski tiek veikts darbs, tad termiņu noteikšanai normatīvajos aktos parasti izmanto terminu "darbdiena", lietojot to kā pretstatu brīvdienai un svētku dienai (</w:t>
      </w:r>
      <w:r>
        <w:rPr>
          <w:rFonts w:ascii="Times New Roman" w:hAnsi="Times New Roman" w:cs="Times New Roman"/>
          <w:i/>
          <w:iCs/>
          <w:color w:val="000000"/>
          <w:sz w:val="24"/>
          <w:szCs w:val="24"/>
          <w:lang/>
        </w:rPr>
        <w:t>Broka B., Džohansens S. Juridisko tekstu rakstīšana un analīze. Rīga: Tiesu namu aģentūra, 2010, 27. lpp.</w:t>
      </w:r>
      <w:r>
        <w:rPr>
          <w:rFonts w:ascii="Times New Roman" w:hAnsi="Times New Roman" w:cs="Times New Roman"/>
          <w:color w:val="000000"/>
          <w:sz w:val="24"/>
          <w:szCs w:val="24"/>
          <w:lang/>
        </w:rPr>
        <w:t>).</w:t>
      </w:r>
    </w:p>
    <w:p w14:paraId="1A08506F" w14:textId="77777777" w:rsidR="00CF3D5A" w:rsidRDefault="00CF3D5A" w:rsidP="00CF3D5A">
      <w:pPr>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8.9. Lūdzam precizēt projektu, ievērojot, ka skaitļus no "1" līdz "9" parasti raksta ar vārdiem, bet no "10" – ar cipariem (</w:t>
      </w:r>
      <w:r>
        <w:rPr>
          <w:rFonts w:ascii="Times New Roman" w:hAnsi="Times New Roman" w:cs="Times New Roman"/>
          <w:i/>
          <w:iCs/>
          <w:color w:val="000000"/>
          <w:sz w:val="24"/>
          <w:szCs w:val="24"/>
          <w:lang/>
        </w:rPr>
        <w:t>Normatīvo aktu projektu izstrādes rokasgrāmata,</w:t>
      </w:r>
      <w:r>
        <w:rPr>
          <w:rFonts w:ascii="Times New Roman" w:hAnsi="Times New Roman" w:cs="Times New Roman"/>
          <w:color w:val="000000"/>
          <w:sz w:val="24"/>
          <w:szCs w:val="24"/>
          <w:lang/>
        </w:rPr>
        <w:t xml:space="preserve"> </w:t>
      </w:r>
      <w:hyperlink r:id="rId7" w:history="1">
        <w:r>
          <w:rPr>
            <w:rStyle w:val="Hyperlink"/>
            <w:i/>
            <w:iCs/>
            <w:color w:val="000000"/>
            <w:sz w:val="24"/>
            <w:szCs w:val="24"/>
            <w:lang/>
          </w:rPr>
          <w:t>https://tai.mk.gov.lv/book/1/chapter/129</w:t>
        </w:r>
      </w:hyperlink>
      <w:r>
        <w:rPr>
          <w:rFonts w:ascii="Times New Roman" w:hAnsi="Times New Roman" w:cs="Times New Roman"/>
          <w:color w:val="000000"/>
          <w:sz w:val="24"/>
          <w:szCs w:val="24"/>
          <w:lang/>
        </w:rPr>
        <w:t>).</w:t>
      </w:r>
    </w:p>
    <w:p w14:paraId="4C0277DB" w14:textId="77777777" w:rsidR="00CF3D5A" w:rsidRDefault="00CF3D5A" w:rsidP="00CF3D5A">
      <w:pPr>
        <w:ind w:firstLine="720"/>
        <w:jc w:val="both"/>
        <w:rPr>
          <w:rFonts w:ascii="Times New Roman" w:hAnsi="Times New Roman" w:cs="Times New Roman"/>
          <w:color w:val="000000"/>
          <w:sz w:val="24"/>
          <w:szCs w:val="24"/>
          <w:lang/>
        </w:rPr>
      </w:pPr>
    </w:p>
    <w:p w14:paraId="15BCFBFB"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9. Lūdzam pienācīgi aizpildīt projekta anotāciju, ievērojot </w:t>
      </w:r>
      <w:r>
        <w:rPr>
          <w:rStyle w:val="normaltextrun"/>
          <w:rFonts w:ascii="Times New Roman" w:hAnsi="Times New Roman" w:cs="Times New Roman"/>
          <w:color w:val="000000"/>
          <w:sz w:val="24"/>
          <w:szCs w:val="24"/>
          <w:lang/>
        </w:rPr>
        <w:t xml:space="preserve">Ministru kabineta 2009. gada 15. decembra instrukcijas Nr. 19 "Tiesību akta projekta sākotnējās ietekmes izvērtēšanas kārtība" prasības un arī </w:t>
      </w:r>
      <w:r>
        <w:rPr>
          <w:rFonts w:ascii="Times New Roman" w:hAnsi="Times New Roman" w:cs="Times New Roman"/>
          <w:color w:val="000000"/>
          <w:sz w:val="24"/>
          <w:szCs w:val="24"/>
          <w:lang/>
        </w:rPr>
        <w:t>Tieslietu ministrijas 2020. gada 27. novembra atzinumā Nr. 1-9.1/1266 jau izteiktos apsvērumus.</w:t>
      </w:r>
    </w:p>
    <w:p w14:paraId="0E1B837C"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9.1. Projekta anotācijā jābūt atrodamai informācijai par katra projektā iekļautā vienību saturiskā bloka būtību, nepārrakstot projektā ietvertās normas (Ministru kabineta 2009. gada </w:t>
      </w:r>
      <w:r>
        <w:rPr>
          <w:rFonts w:ascii="Times New Roman" w:hAnsi="Times New Roman" w:cs="Times New Roman"/>
          <w:color w:val="000000"/>
          <w:sz w:val="24"/>
          <w:szCs w:val="24"/>
          <w:lang/>
        </w:rPr>
        <w:lastRenderedPageBreak/>
        <w:t>15. decembra instrukcijas Nr. 19 "Tiesību akta projekta sākotnējās ietekmes izvērtēšanas kārtība" 14.3. apakšpunkts). Šobrīd projekta anotācijas I sadaļas 2. punktā, ciktāl tas attiecas tieši uz projekta saturu, pamatā ir pārrakstītas projektā ietvertās normas. Tas nekādā veidā neatklāj šā regulējuma būtību (nepieciešamību, mērķi, ierobežojumu attaisnojamību utt.).</w:t>
      </w:r>
    </w:p>
    <w:p w14:paraId="508FE178"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9.2. Projekta 5. punktā vispārīgi regulēta komisijas izveidošana un sastāvs. Tieslietu ministrijas 2020. gada 27. novembra atzinuma Nr. 1-9.1/1266 2. punktā bija iekļauta virkne kritēriju, ko nepieciešams izvērtēt un attiecīgi pamatot projekta anotācijā. Daļēji atbildes uz tiem ir atrodas izziņā, tomēr Ministru kabineta noteikumu projekta nozīmīgākais sagatavošanas dokuments ir tieši anotācija, kur tad arī iekļaujams attiecīgais pamatojums. Tādējādi no projekta anotācijas jābūt skaidram, kāpēc šāda komisija ir nepieciešama, kā tas atbilst pakalpojuma sniedzēju izvēles procedūras regulējumam (tostarp arī citos normatīvajos aktos, piemēram, deleģēšanas procedūras vispārīgajam regulējumam), kādi ir komisijas dalībnieku izvēles kritēriji, komisijas vieta valsts pārvaldes institucionālajā sistēmā (attiecīgi arī lēmumu apstrīdēšanas vai pārsūdzēšanas kārtība). Izziņā norādīts, ka Tieslietu ministrijas iebildums ir ņemts vērā, tomēr projekta anotācijā atbilstoša un pilnvērtīga informācija nav iekļauta. Tas, ka "projekta izstrādes laikā pēc rīkotajām vairākām sanāksmēm tika panākta vienošanās, ka uzvedības korekcijas programmas grupu nodarbību organizētājus izvēlas tieši speciāla komisija", nenozīmē, ka projekta anotācijā nebūtu ietverams iepriekš minētais pamatojums.</w:t>
      </w:r>
    </w:p>
    <w:p w14:paraId="3AC9A5FD"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Projekta anotācijas I sadaļas 2. punktā un VII sadaļas 2. punktā norādīts: "</w:t>
      </w:r>
      <w:r>
        <w:rPr>
          <w:rFonts w:ascii="Times New Roman" w:hAnsi="Times New Roman" w:cs="Times New Roman"/>
          <w:sz w:val="24"/>
          <w:szCs w:val="24"/>
          <w:lang/>
        </w:rPr>
        <w:t>S</w:t>
      </w:r>
      <w:r>
        <w:rPr>
          <w:rFonts w:ascii="Times New Roman" w:hAnsi="Times New Roman" w:cs="Times New Roman"/>
          <w:color w:val="000000"/>
          <w:sz w:val="24"/>
          <w:szCs w:val="24"/>
          <w:lang/>
        </w:rPr>
        <w:t xml:space="preserve">atiksmes ministrija ar rīkojumu apstiprina komisijas locekļu sastāvu. Rīkojumā tiek noteikti komisijas locekļu pienākumi un tiesības, kā arī komisijas sēžu norises kārtība." Minētais neatbilst nedz valsts pārvaldes struktūras izveidošanas kārtībai, ne arī rīkojuma kā individuālā tiesību akta būtībai. </w:t>
      </w:r>
    </w:p>
    <w:p w14:paraId="64F1BC3D"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Iestādes izveidotai koleģiālai institūcijai ir nepieciešams reglaments. To izdod tās iestādes vadītājs, kura šo institūciju ir izveidojusi. Reglaments tad arī noteic institūcijas uzbūvi un darba organizāciju (Valsts pārvaldes iekārtas likuma 73. panta pirmās daļas 1. punkts un 75. panta otrā daļa).</w:t>
      </w:r>
    </w:p>
    <w:p w14:paraId="28CF6E7E"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9.3. Lūdzam precizēt projekta anotācijas kopsavilkumā norādīto projekta mērķi. Mērķis nav kaut ko regulēt ("pakļaut kārtībai"), bet gan sasniegt noteiktu rezultātu. Salīdzinoši precīzāks projekta mērķis ir norādīts projekta anotācijas II sadaļas 1. punktā.</w:t>
      </w:r>
    </w:p>
    <w:p w14:paraId="38CE94B1" w14:textId="77777777" w:rsidR="00CF3D5A" w:rsidRDefault="00CF3D5A" w:rsidP="00CF3D5A">
      <w:pPr>
        <w:ind w:firstLine="72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9.4. Projekta anotācijas VI sadaļas 3. punktā norādīts, ka "[p]rojekta izstrādes laikā tika ņemti vērā priekšlikumi no [biedrības] "Latvijas Atkarības psihologu apvienība" un SIA "Mācību centrs MKB", kas tika arī iestrādāti Noteikumu projektā".</w:t>
      </w:r>
    </w:p>
    <w:p w14:paraId="682B17A0" w14:textId="77777777" w:rsidR="00CF3D5A" w:rsidRDefault="00CF3D5A" w:rsidP="00CF3D5A">
      <w:pPr>
        <w:ind w:firstLine="720"/>
        <w:jc w:val="both"/>
        <w:rPr>
          <w:rStyle w:val="normaltextrun"/>
        </w:rPr>
      </w:pPr>
      <w:r>
        <w:rPr>
          <w:rFonts w:ascii="Times New Roman" w:hAnsi="Times New Roman" w:cs="Times New Roman"/>
          <w:color w:val="000000"/>
          <w:sz w:val="24"/>
          <w:szCs w:val="24"/>
          <w:lang/>
        </w:rPr>
        <w:t xml:space="preserve">Saskaņā ar </w:t>
      </w:r>
      <w:r>
        <w:rPr>
          <w:rStyle w:val="normaltextrun"/>
          <w:rFonts w:ascii="Times New Roman" w:hAnsi="Times New Roman" w:cs="Times New Roman"/>
          <w:color w:val="000000"/>
          <w:sz w:val="24"/>
          <w:szCs w:val="24"/>
          <w:lang/>
        </w:rPr>
        <w:t>Ministru kabineta 2009. gada 15. decembra instrukcijas Nr. 19 "Tiesību akta projekta sākotnējās ietekmes izvērtēšanas kārtība" 62. punktu projekta anotācijā norāda sabiedrības pārstāvju izteiktos būtiskākos priekšlikumus projekta izstrādes procesā, kā arī to, vai un kādā veidā sabiedrības pārstāvju priekšlikumi ir ņemti vērā projekta izstrādes procesā. Projekta anotācijā nav atrodama informācija par priekšlikumu saturu.</w:t>
      </w:r>
    </w:p>
    <w:p w14:paraId="58364059" w14:textId="77777777" w:rsidR="00CF3D5A" w:rsidRDefault="00CF3D5A" w:rsidP="00CF3D5A">
      <w:pPr>
        <w:ind w:firstLine="720"/>
        <w:jc w:val="both"/>
        <w:rPr>
          <w:rStyle w:val="normaltextrun"/>
          <w:rFonts w:ascii="Times New Roman" w:hAnsi="Times New Roman" w:cs="Times New Roman"/>
          <w:color w:val="000000"/>
          <w:sz w:val="24"/>
          <w:szCs w:val="24"/>
          <w:lang/>
        </w:rPr>
      </w:pPr>
      <w:r>
        <w:rPr>
          <w:rStyle w:val="normaltextrun"/>
          <w:rFonts w:ascii="Times New Roman" w:hAnsi="Times New Roman" w:cs="Times New Roman"/>
          <w:color w:val="000000"/>
          <w:sz w:val="24"/>
          <w:szCs w:val="24"/>
          <w:lang/>
        </w:rPr>
        <w:t xml:space="preserve">9.5. Lūdzam precizēt projekta anotācijas VII sadaļas 1. punktā ietverto institūciju uzskaitījumu. Tas vairs neatbilst projekta saturam (projekta 5. punkts). </w:t>
      </w:r>
    </w:p>
    <w:p w14:paraId="344F6D66" w14:textId="77777777" w:rsidR="00CF3D5A" w:rsidRDefault="00CF3D5A" w:rsidP="00CF3D5A">
      <w:pPr>
        <w:ind w:firstLine="720"/>
        <w:jc w:val="both"/>
      </w:pPr>
      <w:r>
        <w:rPr>
          <w:rStyle w:val="normaltextrun"/>
          <w:rFonts w:ascii="Times New Roman" w:hAnsi="Times New Roman" w:cs="Times New Roman"/>
          <w:color w:val="000000"/>
          <w:sz w:val="24"/>
          <w:szCs w:val="24"/>
          <w:lang/>
        </w:rPr>
        <w:t>Tāpat projekta anotācijas VII sadaļas 2. punktā jāietver skaidrojums, kā projekta izpilde ietekmē institūcijas funkcijas un uzdevumus. Ja funkcijas un uzdevumi tiek paplašināti vai sašaurināti, jāsniedz skaidrojums, kādā veidā šī paplašināšana vai sašaurināšana izriet no projektā iekļautajām normām (Ministru kabineta 2009. gada 15. decembra instrukcijas Nr. 19 "Tiesību akta projekta sākotnējās ietekmes izvērtēšanas kārtība" 66.1. apakšpunkts). Vienlaikus šajā projekta anotācijas punktā nav nepieciešams detalizēti atkārtot projektā jau iepriekš minētu informāciju.</w:t>
      </w:r>
    </w:p>
    <w:p w14:paraId="6624BE70" w14:textId="77777777" w:rsidR="00CF3D5A" w:rsidRDefault="00CF3D5A" w:rsidP="00CF3D5A">
      <w:pPr>
        <w:rPr>
          <w:color w:val="000000"/>
          <w:lang/>
        </w:rPr>
      </w:pPr>
    </w:p>
    <w:p w14:paraId="2AAACD78" w14:textId="77777777" w:rsidR="00CF3D5A" w:rsidRDefault="00CF3D5A" w:rsidP="00CF3D5A">
      <w:pPr>
        <w:rPr>
          <w:lang/>
        </w:rPr>
      </w:pPr>
    </w:p>
    <w:p w14:paraId="759934F4" w14:textId="77777777" w:rsidR="00CF3D5A" w:rsidRDefault="00CF3D5A" w:rsidP="00CF3D5A">
      <w:r>
        <w:t>Ar cieņu</w:t>
      </w:r>
    </w:p>
    <w:p w14:paraId="119175F8" w14:textId="77777777" w:rsidR="00CF3D5A" w:rsidRDefault="00CF3D5A" w:rsidP="00CF3D5A">
      <w:pPr>
        <w:rPr>
          <w:lang/>
        </w:rPr>
      </w:pPr>
    </w:p>
    <w:p w14:paraId="1467725B" w14:textId="2B20A505" w:rsidR="00CF3D5A" w:rsidRDefault="00CF3D5A" w:rsidP="00CF3D5A">
      <w:pPr>
        <w:rPr>
          <w:rFonts w:ascii="Times New Roman" w:hAnsi="Times New Roman" w:cs="Times New Roman"/>
          <w:color w:val="000000"/>
          <w:sz w:val="20"/>
          <w:szCs w:val="20"/>
          <w:lang w:eastAsia="en-GB"/>
        </w:rPr>
      </w:pPr>
      <w:r>
        <w:rPr>
          <w:noProof/>
        </w:rPr>
        <w:lastRenderedPageBreak/>
        <w:drawing>
          <wp:anchor distT="0" distB="0" distL="114300" distR="114300" simplePos="0" relativeHeight="251659264" behindDoc="0" locked="0" layoutInCell="1" allowOverlap="0" wp14:anchorId="07BF14F1" wp14:editId="7FC45C94">
            <wp:simplePos x="0" y="0"/>
            <wp:positionH relativeFrom="column">
              <wp:align>left</wp:align>
            </wp:positionH>
            <wp:positionV relativeFrom="line">
              <wp:posOffset>0</wp:posOffset>
            </wp:positionV>
            <wp:extent cx="1247775" cy="981075"/>
            <wp:effectExtent l="0" t="0" r="9525" b="9525"/>
            <wp:wrapSquare wrapText="bothSides"/>
            <wp:docPr id="2" name="Picture 2" descr="signature_134736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e_13473663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color w:val="000000"/>
          <w:sz w:val="20"/>
          <w:szCs w:val="20"/>
          <w:lang w:eastAsia="en-GB"/>
        </w:rPr>
        <w:t>Sandis Vilcāns</w:t>
      </w:r>
    </w:p>
    <w:p w14:paraId="5F9AB691" w14:textId="77777777" w:rsidR="00CF3D5A" w:rsidRDefault="00CF3D5A" w:rsidP="00CF3D5A">
      <w:pPr>
        <w:rPr>
          <w:rFonts w:ascii="Times New Roman" w:hAnsi="Times New Roman" w:cs="Times New Roman"/>
          <w:color w:val="000000"/>
          <w:sz w:val="20"/>
          <w:szCs w:val="20"/>
          <w:lang w:eastAsia="en-GB"/>
        </w:rPr>
      </w:pPr>
      <w:r>
        <w:rPr>
          <w:rFonts w:ascii="Times New Roman" w:hAnsi="Times New Roman" w:cs="Times New Roman"/>
          <w:color w:val="000000"/>
          <w:sz w:val="20"/>
          <w:szCs w:val="20"/>
          <w:lang w:eastAsia="en-GB"/>
        </w:rPr>
        <w:t>Tieslietu ministrijas</w:t>
      </w:r>
      <w:r>
        <w:rPr>
          <w:rFonts w:ascii="Times New Roman" w:hAnsi="Times New Roman" w:cs="Times New Roman"/>
          <w:color w:val="000000"/>
          <w:sz w:val="20"/>
          <w:szCs w:val="20"/>
          <w:lang w:eastAsia="en-GB"/>
        </w:rPr>
        <w:br/>
        <w:t>Valststiesību departamenta </w:t>
      </w:r>
      <w:r>
        <w:rPr>
          <w:rFonts w:ascii="Times New Roman" w:hAnsi="Times New Roman" w:cs="Times New Roman"/>
          <w:color w:val="000000"/>
          <w:sz w:val="20"/>
          <w:szCs w:val="20"/>
          <w:lang w:eastAsia="en-GB"/>
        </w:rPr>
        <w:br/>
        <w:t>Administratīvās atbildības politikas nodaļas jurists</w:t>
      </w:r>
      <w:r>
        <w:rPr>
          <w:rFonts w:ascii="Times New Roman" w:hAnsi="Times New Roman" w:cs="Times New Roman"/>
          <w:color w:val="000000"/>
          <w:sz w:val="20"/>
          <w:szCs w:val="20"/>
          <w:lang w:eastAsia="en-GB"/>
        </w:rPr>
        <w:br/>
        <w:t>E-pasts: </w:t>
      </w:r>
      <w:hyperlink r:id="rId9" w:history="1">
        <w:r>
          <w:rPr>
            <w:rStyle w:val="Hyperlink"/>
            <w:color w:val="000000"/>
            <w:sz w:val="20"/>
            <w:szCs w:val="20"/>
            <w:lang w:eastAsia="en-GB"/>
          </w:rPr>
          <w:t>Sandis.Vilcans@tm.gov.lv</w:t>
        </w:r>
      </w:hyperlink>
    </w:p>
    <w:p w14:paraId="4D5ACAA4" w14:textId="77777777" w:rsidR="00CF3D5A" w:rsidRDefault="00CF3D5A" w:rsidP="00CF3D5A">
      <w:pPr>
        <w:rPr>
          <w:lang/>
        </w:rPr>
      </w:pPr>
      <w:hyperlink r:id="rId10" w:tooltip="http://www.tm.gov.lv/" w:history="1">
        <w:r>
          <w:rPr>
            <w:rStyle w:val="Hyperlink"/>
            <w:color w:val="000000"/>
            <w:sz w:val="20"/>
            <w:szCs w:val="20"/>
            <w:lang/>
          </w:rPr>
          <w:t>www.tm.gov.lv</w:t>
        </w:r>
      </w:hyperlink>
      <w:r>
        <w:rPr>
          <w:rFonts w:ascii="Times New Roman" w:hAnsi="Times New Roman" w:cs="Times New Roman"/>
          <w:color w:val="000000"/>
          <w:sz w:val="20"/>
          <w:szCs w:val="20"/>
          <w:lang/>
        </w:rPr>
        <w:t> </w:t>
      </w:r>
    </w:p>
    <w:p w14:paraId="2F1CD9FC" w14:textId="77777777" w:rsidR="00CF3D5A" w:rsidRDefault="00CF3D5A" w:rsidP="00CF3D5A"/>
    <w:p w14:paraId="788E9C1E" w14:textId="77777777" w:rsidR="00C53CD0" w:rsidRDefault="00C53CD0" w:rsidP="00C53CD0"/>
    <w:sectPr w:rsidR="00C53CD0" w:rsidSect="00C53CD0">
      <w:footerReference w:type="first" r:id="rId1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0A776" w14:textId="77777777" w:rsidR="00CA5526" w:rsidRDefault="00CA5526" w:rsidP="00A15B91">
      <w:r>
        <w:separator/>
      </w:r>
    </w:p>
  </w:endnote>
  <w:endnote w:type="continuationSeparator" w:id="0">
    <w:p w14:paraId="15DE5C62" w14:textId="77777777" w:rsidR="00CA5526" w:rsidRDefault="00CA5526"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7ED6" w14:textId="089CDB23" w:rsidR="00A15B91" w:rsidRPr="00CF3D5A" w:rsidRDefault="00CF3D5A" w:rsidP="00CF3D5A">
    <w:pPr>
      <w:pStyle w:val="Footer"/>
    </w:pPr>
    <w:r w:rsidRPr="00CF3D5A">
      <w:t>TMatz_070521-korekc.gr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C9613" w14:textId="77777777" w:rsidR="00CA5526" w:rsidRDefault="00CA5526" w:rsidP="00A15B91">
      <w:r>
        <w:separator/>
      </w:r>
    </w:p>
  </w:footnote>
  <w:footnote w:type="continuationSeparator" w:id="0">
    <w:p w14:paraId="3781E117" w14:textId="77777777" w:rsidR="00CA5526" w:rsidRDefault="00CA5526" w:rsidP="00A15B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24"/>
    <w:rsid w:val="00001FD2"/>
    <w:rsid w:val="000020F0"/>
    <w:rsid w:val="00002ECE"/>
    <w:rsid w:val="00004BA5"/>
    <w:rsid w:val="00014F0E"/>
    <w:rsid w:val="000263BF"/>
    <w:rsid w:val="00030212"/>
    <w:rsid w:val="00033B04"/>
    <w:rsid w:val="000358D4"/>
    <w:rsid w:val="00035CBB"/>
    <w:rsid w:val="00041684"/>
    <w:rsid w:val="000416D9"/>
    <w:rsid w:val="000509E6"/>
    <w:rsid w:val="0005369C"/>
    <w:rsid w:val="000566E5"/>
    <w:rsid w:val="0006106B"/>
    <w:rsid w:val="0006195E"/>
    <w:rsid w:val="000623D4"/>
    <w:rsid w:val="00066003"/>
    <w:rsid w:val="000704E0"/>
    <w:rsid w:val="000823C2"/>
    <w:rsid w:val="00086F46"/>
    <w:rsid w:val="00087CD0"/>
    <w:rsid w:val="00090142"/>
    <w:rsid w:val="000903CA"/>
    <w:rsid w:val="000A0ED7"/>
    <w:rsid w:val="000A1807"/>
    <w:rsid w:val="000A2377"/>
    <w:rsid w:val="000A5034"/>
    <w:rsid w:val="000B0F84"/>
    <w:rsid w:val="000B1BDB"/>
    <w:rsid w:val="000C0E7C"/>
    <w:rsid w:val="000C208A"/>
    <w:rsid w:val="000D3965"/>
    <w:rsid w:val="000D6D42"/>
    <w:rsid w:val="000E1976"/>
    <w:rsid w:val="000E3FF8"/>
    <w:rsid w:val="000E41AC"/>
    <w:rsid w:val="000E469F"/>
    <w:rsid w:val="000E76CC"/>
    <w:rsid w:val="000F1DC3"/>
    <w:rsid w:val="001026EB"/>
    <w:rsid w:val="00106477"/>
    <w:rsid w:val="001067D9"/>
    <w:rsid w:val="0011328D"/>
    <w:rsid w:val="00113C5D"/>
    <w:rsid w:val="0011481B"/>
    <w:rsid w:val="001208F2"/>
    <w:rsid w:val="00122662"/>
    <w:rsid w:val="00123E9E"/>
    <w:rsid w:val="00124F4B"/>
    <w:rsid w:val="001311D2"/>
    <w:rsid w:val="00131F7C"/>
    <w:rsid w:val="001352FC"/>
    <w:rsid w:val="00147158"/>
    <w:rsid w:val="00147601"/>
    <w:rsid w:val="0015080D"/>
    <w:rsid w:val="0015213E"/>
    <w:rsid w:val="00153624"/>
    <w:rsid w:val="001536E6"/>
    <w:rsid w:val="00153FCF"/>
    <w:rsid w:val="00155C5F"/>
    <w:rsid w:val="00163E83"/>
    <w:rsid w:val="0018552D"/>
    <w:rsid w:val="00186871"/>
    <w:rsid w:val="001948E0"/>
    <w:rsid w:val="00196570"/>
    <w:rsid w:val="001A2BF4"/>
    <w:rsid w:val="001A5E3D"/>
    <w:rsid w:val="001A7F8A"/>
    <w:rsid w:val="001B2F16"/>
    <w:rsid w:val="001B3B01"/>
    <w:rsid w:val="001B55D6"/>
    <w:rsid w:val="001C15CB"/>
    <w:rsid w:val="001C6B70"/>
    <w:rsid w:val="001D07ED"/>
    <w:rsid w:val="001D278B"/>
    <w:rsid w:val="001D3D35"/>
    <w:rsid w:val="001D4453"/>
    <w:rsid w:val="001E211D"/>
    <w:rsid w:val="001E2E8F"/>
    <w:rsid w:val="001E51B4"/>
    <w:rsid w:val="001E71B8"/>
    <w:rsid w:val="001F4282"/>
    <w:rsid w:val="001F6CB5"/>
    <w:rsid w:val="00202324"/>
    <w:rsid w:val="00204E5C"/>
    <w:rsid w:val="002100BE"/>
    <w:rsid w:val="00212DC5"/>
    <w:rsid w:val="00212F64"/>
    <w:rsid w:val="00214302"/>
    <w:rsid w:val="00223AB6"/>
    <w:rsid w:val="00230319"/>
    <w:rsid w:val="00230CAC"/>
    <w:rsid w:val="0024282D"/>
    <w:rsid w:val="00252E01"/>
    <w:rsid w:val="00260D4C"/>
    <w:rsid w:val="002714F0"/>
    <w:rsid w:val="002756BF"/>
    <w:rsid w:val="00277516"/>
    <w:rsid w:val="00280725"/>
    <w:rsid w:val="00280C1A"/>
    <w:rsid w:val="00281012"/>
    <w:rsid w:val="00286A2F"/>
    <w:rsid w:val="00286A9D"/>
    <w:rsid w:val="002879EA"/>
    <w:rsid w:val="0029245F"/>
    <w:rsid w:val="002944A2"/>
    <w:rsid w:val="00296450"/>
    <w:rsid w:val="00296ACF"/>
    <w:rsid w:val="002A1AA2"/>
    <w:rsid w:val="002A2716"/>
    <w:rsid w:val="002A63C5"/>
    <w:rsid w:val="002A692B"/>
    <w:rsid w:val="002B4B9F"/>
    <w:rsid w:val="002B61B5"/>
    <w:rsid w:val="002C4592"/>
    <w:rsid w:val="002C5BFA"/>
    <w:rsid w:val="002C5C21"/>
    <w:rsid w:val="002C5F5C"/>
    <w:rsid w:val="002C6588"/>
    <w:rsid w:val="002D328C"/>
    <w:rsid w:val="002D7614"/>
    <w:rsid w:val="002E12A3"/>
    <w:rsid w:val="002F1C9A"/>
    <w:rsid w:val="002F35C6"/>
    <w:rsid w:val="003008D7"/>
    <w:rsid w:val="00301840"/>
    <w:rsid w:val="00304A30"/>
    <w:rsid w:val="00317484"/>
    <w:rsid w:val="00320DD8"/>
    <w:rsid w:val="00330484"/>
    <w:rsid w:val="003324FF"/>
    <w:rsid w:val="00335F2B"/>
    <w:rsid w:val="003423E4"/>
    <w:rsid w:val="00345BB9"/>
    <w:rsid w:val="00352468"/>
    <w:rsid w:val="0036072E"/>
    <w:rsid w:val="003655EC"/>
    <w:rsid w:val="00373591"/>
    <w:rsid w:val="0037596C"/>
    <w:rsid w:val="00376C44"/>
    <w:rsid w:val="00383A65"/>
    <w:rsid w:val="003903D8"/>
    <w:rsid w:val="00390B49"/>
    <w:rsid w:val="003930F3"/>
    <w:rsid w:val="00394E47"/>
    <w:rsid w:val="003A0864"/>
    <w:rsid w:val="003A4436"/>
    <w:rsid w:val="003A7972"/>
    <w:rsid w:val="003B04B6"/>
    <w:rsid w:val="003B2B81"/>
    <w:rsid w:val="003C1592"/>
    <w:rsid w:val="003C2AD3"/>
    <w:rsid w:val="003C2BF4"/>
    <w:rsid w:val="003C7689"/>
    <w:rsid w:val="003D1B61"/>
    <w:rsid w:val="003D4207"/>
    <w:rsid w:val="003D5E95"/>
    <w:rsid w:val="003E0342"/>
    <w:rsid w:val="003E0C9F"/>
    <w:rsid w:val="003F01EA"/>
    <w:rsid w:val="003F2383"/>
    <w:rsid w:val="003F7A2C"/>
    <w:rsid w:val="00404ACE"/>
    <w:rsid w:val="00404B91"/>
    <w:rsid w:val="00410AFE"/>
    <w:rsid w:val="00416FB3"/>
    <w:rsid w:val="00417650"/>
    <w:rsid w:val="004252F7"/>
    <w:rsid w:val="00431543"/>
    <w:rsid w:val="00435FC5"/>
    <w:rsid w:val="00442760"/>
    <w:rsid w:val="00445C40"/>
    <w:rsid w:val="00451268"/>
    <w:rsid w:val="00453759"/>
    <w:rsid w:val="00454F44"/>
    <w:rsid w:val="00457489"/>
    <w:rsid w:val="00460253"/>
    <w:rsid w:val="00463059"/>
    <w:rsid w:val="004661A6"/>
    <w:rsid w:val="00470D26"/>
    <w:rsid w:val="00470EFA"/>
    <w:rsid w:val="00471D3E"/>
    <w:rsid w:val="004728B1"/>
    <w:rsid w:val="00476E63"/>
    <w:rsid w:val="00481160"/>
    <w:rsid w:val="00487C43"/>
    <w:rsid w:val="00491180"/>
    <w:rsid w:val="00491479"/>
    <w:rsid w:val="00491F99"/>
    <w:rsid w:val="004A1082"/>
    <w:rsid w:val="004A1EAF"/>
    <w:rsid w:val="004A32BB"/>
    <w:rsid w:val="004A6B33"/>
    <w:rsid w:val="004C0B4E"/>
    <w:rsid w:val="004C3BC9"/>
    <w:rsid w:val="004C4D8D"/>
    <w:rsid w:val="004D3E23"/>
    <w:rsid w:val="004D4B11"/>
    <w:rsid w:val="004D51B2"/>
    <w:rsid w:val="004D7E14"/>
    <w:rsid w:val="004E1A78"/>
    <w:rsid w:val="004E1B97"/>
    <w:rsid w:val="0050169B"/>
    <w:rsid w:val="00504DB4"/>
    <w:rsid w:val="005058DB"/>
    <w:rsid w:val="00507B43"/>
    <w:rsid w:val="00512281"/>
    <w:rsid w:val="00513E59"/>
    <w:rsid w:val="005152AA"/>
    <w:rsid w:val="00523678"/>
    <w:rsid w:val="00525F8C"/>
    <w:rsid w:val="0053087A"/>
    <w:rsid w:val="00541345"/>
    <w:rsid w:val="00542E8D"/>
    <w:rsid w:val="00544E2A"/>
    <w:rsid w:val="005452FF"/>
    <w:rsid w:val="00545743"/>
    <w:rsid w:val="0054768E"/>
    <w:rsid w:val="0055008B"/>
    <w:rsid w:val="00557F6E"/>
    <w:rsid w:val="00572025"/>
    <w:rsid w:val="00575F13"/>
    <w:rsid w:val="00575FF3"/>
    <w:rsid w:val="00582C60"/>
    <w:rsid w:val="0059218B"/>
    <w:rsid w:val="005931D4"/>
    <w:rsid w:val="00596D66"/>
    <w:rsid w:val="005A0CA3"/>
    <w:rsid w:val="005A0E8D"/>
    <w:rsid w:val="005B0A2A"/>
    <w:rsid w:val="005B4257"/>
    <w:rsid w:val="005B43B6"/>
    <w:rsid w:val="005B5A58"/>
    <w:rsid w:val="005C15DD"/>
    <w:rsid w:val="005C18B0"/>
    <w:rsid w:val="005C33F9"/>
    <w:rsid w:val="005C5DFC"/>
    <w:rsid w:val="005D3524"/>
    <w:rsid w:val="005F20E3"/>
    <w:rsid w:val="00602A44"/>
    <w:rsid w:val="0060560E"/>
    <w:rsid w:val="00605BB1"/>
    <w:rsid w:val="00605D21"/>
    <w:rsid w:val="00607316"/>
    <w:rsid w:val="006163B0"/>
    <w:rsid w:val="006165BB"/>
    <w:rsid w:val="00620617"/>
    <w:rsid w:val="0062134D"/>
    <w:rsid w:val="00624C90"/>
    <w:rsid w:val="0063103A"/>
    <w:rsid w:val="006321B2"/>
    <w:rsid w:val="0064238B"/>
    <w:rsid w:val="006444E7"/>
    <w:rsid w:val="00646D8D"/>
    <w:rsid w:val="006530E6"/>
    <w:rsid w:val="00653522"/>
    <w:rsid w:val="00653AB6"/>
    <w:rsid w:val="00653DD6"/>
    <w:rsid w:val="0066086E"/>
    <w:rsid w:val="00666D9D"/>
    <w:rsid w:val="00667055"/>
    <w:rsid w:val="00671B44"/>
    <w:rsid w:val="00673F9D"/>
    <w:rsid w:val="0068017D"/>
    <w:rsid w:val="006804A3"/>
    <w:rsid w:val="00683E06"/>
    <w:rsid w:val="0069079E"/>
    <w:rsid w:val="00693796"/>
    <w:rsid w:val="006944D4"/>
    <w:rsid w:val="006A486C"/>
    <w:rsid w:val="006A68A7"/>
    <w:rsid w:val="006B0BD5"/>
    <w:rsid w:val="006B35DF"/>
    <w:rsid w:val="006B6234"/>
    <w:rsid w:val="006C205B"/>
    <w:rsid w:val="006C708B"/>
    <w:rsid w:val="006D14D4"/>
    <w:rsid w:val="006D1683"/>
    <w:rsid w:val="006D798D"/>
    <w:rsid w:val="006E2E20"/>
    <w:rsid w:val="006E708D"/>
    <w:rsid w:val="006E7A4F"/>
    <w:rsid w:val="006F03F0"/>
    <w:rsid w:val="006F2D78"/>
    <w:rsid w:val="006F40A5"/>
    <w:rsid w:val="00704EBA"/>
    <w:rsid w:val="00705192"/>
    <w:rsid w:val="00711BB7"/>
    <w:rsid w:val="00714AAD"/>
    <w:rsid w:val="00715396"/>
    <w:rsid w:val="00716F9F"/>
    <w:rsid w:val="00732FF3"/>
    <w:rsid w:val="00740CCA"/>
    <w:rsid w:val="007441B4"/>
    <w:rsid w:val="0074712A"/>
    <w:rsid w:val="00756961"/>
    <w:rsid w:val="0075793D"/>
    <w:rsid w:val="00763037"/>
    <w:rsid w:val="00776BB1"/>
    <w:rsid w:val="00781157"/>
    <w:rsid w:val="007837B0"/>
    <w:rsid w:val="007844E6"/>
    <w:rsid w:val="00797A9D"/>
    <w:rsid w:val="007A0140"/>
    <w:rsid w:val="007A61DA"/>
    <w:rsid w:val="007B442A"/>
    <w:rsid w:val="007B675F"/>
    <w:rsid w:val="007C4BC0"/>
    <w:rsid w:val="007D4638"/>
    <w:rsid w:val="007D47A6"/>
    <w:rsid w:val="007D7B50"/>
    <w:rsid w:val="007D7D3F"/>
    <w:rsid w:val="007E2099"/>
    <w:rsid w:val="007E4345"/>
    <w:rsid w:val="008021E2"/>
    <w:rsid w:val="0080671E"/>
    <w:rsid w:val="00810206"/>
    <w:rsid w:val="00811D39"/>
    <w:rsid w:val="00812D10"/>
    <w:rsid w:val="00815C75"/>
    <w:rsid w:val="00820F5F"/>
    <w:rsid w:val="0082173C"/>
    <w:rsid w:val="008217B4"/>
    <w:rsid w:val="00822A18"/>
    <w:rsid w:val="00831EBC"/>
    <w:rsid w:val="008377AD"/>
    <w:rsid w:val="00845BD1"/>
    <w:rsid w:val="00851456"/>
    <w:rsid w:val="0085156E"/>
    <w:rsid w:val="00862151"/>
    <w:rsid w:val="00862C03"/>
    <w:rsid w:val="00863A57"/>
    <w:rsid w:val="0086696C"/>
    <w:rsid w:val="00867287"/>
    <w:rsid w:val="00871985"/>
    <w:rsid w:val="00872249"/>
    <w:rsid w:val="008859D9"/>
    <w:rsid w:val="00894913"/>
    <w:rsid w:val="008A1171"/>
    <w:rsid w:val="008A1537"/>
    <w:rsid w:val="008A3009"/>
    <w:rsid w:val="008B48F4"/>
    <w:rsid w:val="008B4F0F"/>
    <w:rsid w:val="008C299D"/>
    <w:rsid w:val="008C5F44"/>
    <w:rsid w:val="008C7222"/>
    <w:rsid w:val="008D07CF"/>
    <w:rsid w:val="008D1C49"/>
    <w:rsid w:val="008D267F"/>
    <w:rsid w:val="008D3EDB"/>
    <w:rsid w:val="008D7758"/>
    <w:rsid w:val="008E4401"/>
    <w:rsid w:val="008E51BC"/>
    <w:rsid w:val="008E7DDD"/>
    <w:rsid w:val="008F3A62"/>
    <w:rsid w:val="00904F84"/>
    <w:rsid w:val="00914618"/>
    <w:rsid w:val="00915075"/>
    <w:rsid w:val="009160C5"/>
    <w:rsid w:val="009174A5"/>
    <w:rsid w:val="0092181A"/>
    <w:rsid w:val="009332FD"/>
    <w:rsid w:val="009355BF"/>
    <w:rsid w:val="00945C83"/>
    <w:rsid w:val="00945E24"/>
    <w:rsid w:val="00947A59"/>
    <w:rsid w:val="009549BB"/>
    <w:rsid w:val="00956857"/>
    <w:rsid w:val="009638D5"/>
    <w:rsid w:val="00963A69"/>
    <w:rsid w:val="00970680"/>
    <w:rsid w:val="0097257E"/>
    <w:rsid w:val="0098206B"/>
    <w:rsid w:val="009947E0"/>
    <w:rsid w:val="00997406"/>
    <w:rsid w:val="009A2E95"/>
    <w:rsid w:val="009C04BE"/>
    <w:rsid w:val="009C2BB9"/>
    <w:rsid w:val="009C5403"/>
    <w:rsid w:val="009C58EE"/>
    <w:rsid w:val="009C6753"/>
    <w:rsid w:val="009C6FB4"/>
    <w:rsid w:val="009C7723"/>
    <w:rsid w:val="009D1225"/>
    <w:rsid w:val="009E01C5"/>
    <w:rsid w:val="009E6543"/>
    <w:rsid w:val="009F7755"/>
    <w:rsid w:val="009F7CFF"/>
    <w:rsid w:val="00A0750B"/>
    <w:rsid w:val="00A14F57"/>
    <w:rsid w:val="00A15B91"/>
    <w:rsid w:val="00A17249"/>
    <w:rsid w:val="00A20B4A"/>
    <w:rsid w:val="00A27C7F"/>
    <w:rsid w:val="00A320F1"/>
    <w:rsid w:val="00A402B4"/>
    <w:rsid w:val="00A44B19"/>
    <w:rsid w:val="00A46F17"/>
    <w:rsid w:val="00A52C47"/>
    <w:rsid w:val="00A612DB"/>
    <w:rsid w:val="00A616D7"/>
    <w:rsid w:val="00A6446E"/>
    <w:rsid w:val="00A676C4"/>
    <w:rsid w:val="00A739CE"/>
    <w:rsid w:val="00A76033"/>
    <w:rsid w:val="00A76462"/>
    <w:rsid w:val="00A8362D"/>
    <w:rsid w:val="00A837EE"/>
    <w:rsid w:val="00A854AD"/>
    <w:rsid w:val="00A87711"/>
    <w:rsid w:val="00A90278"/>
    <w:rsid w:val="00A90CEB"/>
    <w:rsid w:val="00A930A6"/>
    <w:rsid w:val="00A930BA"/>
    <w:rsid w:val="00AA3D33"/>
    <w:rsid w:val="00AA57D8"/>
    <w:rsid w:val="00AA6EA8"/>
    <w:rsid w:val="00AB5F96"/>
    <w:rsid w:val="00AB641C"/>
    <w:rsid w:val="00AB79BC"/>
    <w:rsid w:val="00AC20CF"/>
    <w:rsid w:val="00AC5998"/>
    <w:rsid w:val="00AC65F7"/>
    <w:rsid w:val="00AD0E5B"/>
    <w:rsid w:val="00AD6AF5"/>
    <w:rsid w:val="00AD717B"/>
    <w:rsid w:val="00AD7E1E"/>
    <w:rsid w:val="00AF1B4C"/>
    <w:rsid w:val="00B0588B"/>
    <w:rsid w:val="00B069EC"/>
    <w:rsid w:val="00B110ED"/>
    <w:rsid w:val="00B1234A"/>
    <w:rsid w:val="00B13E23"/>
    <w:rsid w:val="00B20CD5"/>
    <w:rsid w:val="00B22B76"/>
    <w:rsid w:val="00B32EA4"/>
    <w:rsid w:val="00B40D23"/>
    <w:rsid w:val="00B4499F"/>
    <w:rsid w:val="00B61FCE"/>
    <w:rsid w:val="00B672BC"/>
    <w:rsid w:val="00B8257A"/>
    <w:rsid w:val="00B93180"/>
    <w:rsid w:val="00B97522"/>
    <w:rsid w:val="00BB500E"/>
    <w:rsid w:val="00BD2DFD"/>
    <w:rsid w:val="00BE0C98"/>
    <w:rsid w:val="00BE1743"/>
    <w:rsid w:val="00BE4297"/>
    <w:rsid w:val="00BF5051"/>
    <w:rsid w:val="00BF544F"/>
    <w:rsid w:val="00C01841"/>
    <w:rsid w:val="00C01AA4"/>
    <w:rsid w:val="00C02DC0"/>
    <w:rsid w:val="00C03A53"/>
    <w:rsid w:val="00C143BB"/>
    <w:rsid w:val="00C17B3F"/>
    <w:rsid w:val="00C24F07"/>
    <w:rsid w:val="00C27C46"/>
    <w:rsid w:val="00C27FAB"/>
    <w:rsid w:val="00C30A72"/>
    <w:rsid w:val="00C3167B"/>
    <w:rsid w:val="00C36C74"/>
    <w:rsid w:val="00C37406"/>
    <w:rsid w:val="00C43421"/>
    <w:rsid w:val="00C43935"/>
    <w:rsid w:val="00C4561B"/>
    <w:rsid w:val="00C53530"/>
    <w:rsid w:val="00C53CD0"/>
    <w:rsid w:val="00C557A5"/>
    <w:rsid w:val="00C57D2F"/>
    <w:rsid w:val="00C627B6"/>
    <w:rsid w:val="00C63EC4"/>
    <w:rsid w:val="00C67FAE"/>
    <w:rsid w:val="00C70319"/>
    <w:rsid w:val="00C74944"/>
    <w:rsid w:val="00C77163"/>
    <w:rsid w:val="00C8003D"/>
    <w:rsid w:val="00C80DAC"/>
    <w:rsid w:val="00C83119"/>
    <w:rsid w:val="00C83DF4"/>
    <w:rsid w:val="00C8489C"/>
    <w:rsid w:val="00C94B5A"/>
    <w:rsid w:val="00CA389C"/>
    <w:rsid w:val="00CA4E46"/>
    <w:rsid w:val="00CA5526"/>
    <w:rsid w:val="00CA6085"/>
    <w:rsid w:val="00CB0C98"/>
    <w:rsid w:val="00CB238F"/>
    <w:rsid w:val="00CB2779"/>
    <w:rsid w:val="00CB49D0"/>
    <w:rsid w:val="00CD2F94"/>
    <w:rsid w:val="00CD311B"/>
    <w:rsid w:val="00CD3142"/>
    <w:rsid w:val="00CE6AA0"/>
    <w:rsid w:val="00CF3897"/>
    <w:rsid w:val="00CF3D5A"/>
    <w:rsid w:val="00CF44AF"/>
    <w:rsid w:val="00CF5FF9"/>
    <w:rsid w:val="00CF7386"/>
    <w:rsid w:val="00D014E6"/>
    <w:rsid w:val="00D0558E"/>
    <w:rsid w:val="00D07263"/>
    <w:rsid w:val="00D20477"/>
    <w:rsid w:val="00D217F1"/>
    <w:rsid w:val="00D27398"/>
    <w:rsid w:val="00D27F59"/>
    <w:rsid w:val="00D303F8"/>
    <w:rsid w:val="00D3070E"/>
    <w:rsid w:val="00D31F4F"/>
    <w:rsid w:val="00D35E0C"/>
    <w:rsid w:val="00D372D7"/>
    <w:rsid w:val="00D37407"/>
    <w:rsid w:val="00D403F6"/>
    <w:rsid w:val="00D44F9E"/>
    <w:rsid w:val="00D46D73"/>
    <w:rsid w:val="00D5233C"/>
    <w:rsid w:val="00D5376D"/>
    <w:rsid w:val="00D5636E"/>
    <w:rsid w:val="00D57360"/>
    <w:rsid w:val="00D6443F"/>
    <w:rsid w:val="00D64584"/>
    <w:rsid w:val="00D80ED6"/>
    <w:rsid w:val="00D81A24"/>
    <w:rsid w:val="00D85A59"/>
    <w:rsid w:val="00D92F21"/>
    <w:rsid w:val="00D93285"/>
    <w:rsid w:val="00DA1E70"/>
    <w:rsid w:val="00DA25C4"/>
    <w:rsid w:val="00DA4351"/>
    <w:rsid w:val="00DA6EA0"/>
    <w:rsid w:val="00DB1B45"/>
    <w:rsid w:val="00DB28A6"/>
    <w:rsid w:val="00DB4C28"/>
    <w:rsid w:val="00DB6F14"/>
    <w:rsid w:val="00DC4614"/>
    <w:rsid w:val="00DC51AB"/>
    <w:rsid w:val="00DD38F7"/>
    <w:rsid w:val="00DF2A0E"/>
    <w:rsid w:val="00DF4C98"/>
    <w:rsid w:val="00DF51AB"/>
    <w:rsid w:val="00E01E13"/>
    <w:rsid w:val="00E100AA"/>
    <w:rsid w:val="00E1364D"/>
    <w:rsid w:val="00E21425"/>
    <w:rsid w:val="00E24D17"/>
    <w:rsid w:val="00E2509C"/>
    <w:rsid w:val="00E26DEF"/>
    <w:rsid w:val="00E27348"/>
    <w:rsid w:val="00E30119"/>
    <w:rsid w:val="00E34ECB"/>
    <w:rsid w:val="00E36DD1"/>
    <w:rsid w:val="00E51E1A"/>
    <w:rsid w:val="00E55139"/>
    <w:rsid w:val="00E622A4"/>
    <w:rsid w:val="00E63D7E"/>
    <w:rsid w:val="00E63F19"/>
    <w:rsid w:val="00E656FA"/>
    <w:rsid w:val="00E6728E"/>
    <w:rsid w:val="00E702C0"/>
    <w:rsid w:val="00E7381F"/>
    <w:rsid w:val="00E74509"/>
    <w:rsid w:val="00E8131A"/>
    <w:rsid w:val="00E86E9C"/>
    <w:rsid w:val="00E9020F"/>
    <w:rsid w:val="00E938E2"/>
    <w:rsid w:val="00EA10F1"/>
    <w:rsid w:val="00EA1DE7"/>
    <w:rsid w:val="00EA580A"/>
    <w:rsid w:val="00EB4E49"/>
    <w:rsid w:val="00EB73B0"/>
    <w:rsid w:val="00EE0A7B"/>
    <w:rsid w:val="00EE17DF"/>
    <w:rsid w:val="00EF04E0"/>
    <w:rsid w:val="00EF2714"/>
    <w:rsid w:val="00EF3E01"/>
    <w:rsid w:val="00EF459E"/>
    <w:rsid w:val="00EF7C14"/>
    <w:rsid w:val="00F007E3"/>
    <w:rsid w:val="00F13385"/>
    <w:rsid w:val="00F200F5"/>
    <w:rsid w:val="00F2411C"/>
    <w:rsid w:val="00F34B51"/>
    <w:rsid w:val="00F402F4"/>
    <w:rsid w:val="00F40E0B"/>
    <w:rsid w:val="00F417E9"/>
    <w:rsid w:val="00F45251"/>
    <w:rsid w:val="00F46BD8"/>
    <w:rsid w:val="00F56779"/>
    <w:rsid w:val="00F615DC"/>
    <w:rsid w:val="00F61D1A"/>
    <w:rsid w:val="00F65C5F"/>
    <w:rsid w:val="00F763E9"/>
    <w:rsid w:val="00F8014F"/>
    <w:rsid w:val="00F805D4"/>
    <w:rsid w:val="00F8500B"/>
    <w:rsid w:val="00F87159"/>
    <w:rsid w:val="00F90F58"/>
    <w:rsid w:val="00F92D59"/>
    <w:rsid w:val="00F97FB2"/>
    <w:rsid w:val="00FA175C"/>
    <w:rsid w:val="00FA4118"/>
    <w:rsid w:val="00FA5C1F"/>
    <w:rsid w:val="00FA6273"/>
    <w:rsid w:val="00FA7ED1"/>
    <w:rsid w:val="00FB05A5"/>
    <w:rsid w:val="00FB3E7C"/>
    <w:rsid w:val="00FB45F3"/>
    <w:rsid w:val="00FB5B42"/>
    <w:rsid w:val="00FC0495"/>
    <w:rsid w:val="00FC0571"/>
    <w:rsid w:val="00FC7263"/>
    <w:rsid w:val="00FC750E"/>
    <w:rsid w:val="00FD0E81"/>
    <w:rsid w:val="00FD2920"/>
    <w:rsid w:val="00FD3DCA"/>
    <w:rsid w:val="00FD4727"/>
    <w:rsid w:val="00FE2580"/>
    <w:rsid w:val="00FE7E7D"/>
    <w:rsid w:val="00FF26EA"/>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8432"/>
  <w15:chartTrackingRefBased/>
  <w15:docId w15:val="{8C896AEB-E0F5-42C8-9B6B-33D654F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B91"/>
    <w:pPr>
      <w:tabs>
        <w:tab w:val="center" w:pos="4153"/>
        <w:tab w:val="right" w:pos="8306"/>
      </w:tabs>
    </w:pPr>
    <w:rPr>
      <w:rFonts w:asciiTheme="minorHAnsi" w:hAnsiTheme="minorHAnsi" w:cstheme="minorBidi"/>
    </w:rPr>
  </w:style>
  <w:style w:type="character" w:customStyle="1" w:styleId="HeaderChar">
    <w:name w:val="Header Char"/>
    <w:basedOn w:val="DefaultParagraphFont"/>
    <w:link w:val="Header"/>
    <w:uiPriority w:val="99"/>
    <w:rsid w:val="00A15B91"/>
  </w:style>
  <w:style w:type="paragraph" w:styleId="Footer">
    <w:name w:val="footer"/>
    <w:basedOn w:val="Normal"/>
    <w:link w:val="FooterChar"/>
    <w:uiPriority w:val="99"/>
    <w:unhideWhenUsed/>
    <w:rsid w:val="00A15B91"/>
    <w:pPr>
      <w:tabs>
        <w:tab w:val="center" w:pos="4153"/>
        <w:tab w:val="right" w:pos="8306"/>
      </w:tabs>
    </w:pPr>
    <w:rPr>
      <w:rFonts w:asciiTheme="minorHAnsi" w:hAnsiTheme="minorHAnsi" w:cstheme="minorBidi"/>
    </w:rPr>
  </w:style>
  <w:style w:type="character" w:customStyle="1" w:styleId="FooterChar">
    <w:name w:val="Footer Char"/>
    <w:basedOn w:val="DefaultParagraphFont"/>
    <w:link w:val="Footer"/>
    <w:uiPriority w:val="99"/>
    <w:rsid w:val="00A15B91"/>
  </w:style>
  <w:style w:type="character" w:styleId="Hyperlink">
    <w:name w:val="Hyperlink"/>
    <w:basedOn w:val="DefaultParagraphFont"/>
    <w:uiPriority w:val="99"/>
    <w:semiHidden/>
    <w:unhideWhenUsed/>
    <w:rsid w:val="00A15B91"/>
    <w:rPr>
      <w:color w:val="0563C1"/>
      <w:u w:val="single"/>
    </w:rPr>
  </w:style>
  <w:style w:type="paragraph" w:styleId="NormalWeb">
    <w:name w:val="Normal (Web)"/>
    <w:basedOn w:val="Normal"/>
    <w:uiPriority w:val="99"/>
    <w:semiHidden/>
    <w:unhideWhenUsed/>
    <w:rsid w:val="00CF3D5A"/>
    <w:pPr>
      <w:spacing w:before="100" w:beforeAutospacing="1" w:after="100" w:afterAutospacing="1"/>
    </w:pPr>
    <w:rPr>
      <w:lang w:eastAsia="lv-LV"/>
    </w:rPr>
  </w:style>
  <w:style w:type="character" w:customStyle="1" w:styleId="normaltextrun">
    <w:name w:val="normaltextrun"/>
    <w:basedOn w:val="DefaultParagraphFont"/>
    <w:rsid w:val="00CF3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479352">
      <w:bodyDiv w:val="1"/>
      <w:marLeft w:val="0"/>
      <w:marRight w:val="0"/>
      <w:marTop w:val="0"/>
      <w:marBottom w:val="0"/>
      <w:divBdr>
        <w:top w:val="none" w:sz="0" w:space="0" w:color="auto"/>
        <w:left w:val="none" w:sz="0" w:space="0" w:color="auto"/>
        <w:bottom w:val="none" w:sz="0" w:space="0" w:color="auto"/>
        <w:right w:val="none" w:sz="0" w:space="0" w:color="auto"/>
      </w:divBdr>
    </w:div>
    <w:div w:id="642076120">
      <w:bodyDiv w:val="1"/>
      <w:marLeft w:val="0"/>
      <w:marRight w:val="0"/>
      <w:marTop w:val="0"/>
      <w:marBottom w:val="0"/>
      <w:divBdr>
        <w:top w:val="none" w:sz="0" w:space="0" w:color="auto"/>
        <w:left w:val="none" w:sz="0" w:space="0" w:color="auto"/>
        <w:bottom w:val="none" w:sz="0" w:space="0" w:color="auto"/>
        <w:right w:val="none" w:sz="0" w:space="0" w:color="auto"/>
      </w:divBdr>
    </w:div>
    <w:div w:id="854459009">
      <w:bodyDiv w:val="1"/>
      <w:marLeft w:val="0"/>
      <w:marRight w:val="0"/>
      <w:marTop w:val="0"/>
      <w:marBottom w:val="0"/>
      <w:divBdr>
        <w:top w:val="none" w:sz="0" w:space="0" w:color="auto"/>
        <w:left w:val="none" w:sz="0" w:space="0" w:color="auto"/>
        <w:bottom w:val="none" w:sz="0" w:space="0" w:color="auto"/>
        <w:right w:val="none" w:sz="0" w:space="0" w:color="auto"/>
      </w:divBdr>
    </w:div>
    <w:div w:id="1232741337">
      <w:bodyDiv w:val="1"/>
      <w:marLeft w:val="0"/>
      <w:marRight w:val="0"/>
      <w:marTop w:val="0"/>
      <w:marBottom w:val="0"/>
      <w:divBdr>
        <w:top w:val="none" w:sz="0" w:space="0" w:color="auto"/>
        <w:left w:val="none" w:sz="0" w:space="0" w:color="auto"/>
        <w:bottom w:val="none" w:sz="0" w:space="0" w:color="auto"/>
        <w:right w:val="none" w:sz="0" w:space="0" w:color="auto"/>
      </w:divBdr>
    </w:div>
    <w:div w:id="1692998336">
      <w:bodyDiv w:val="1"/>
      <w:marLeft w:val="0"/>
      <w:marRight w:val="0"/>
      <w:marTop w:val="0"/>
      <w:marBottom w:val="0"/>
      <w:divBdr>
        <w:top w:val="none" w:sz="0" w:space="0" w:color="auto"/>
        <w:left w:val="none" w:sz="0" w:space="0" w:color="auto"/>
        <w:bottom w:val="none" w:sz="0" w:space="0" w:color="auto"/>
        <w:right w:val="none" w:sz="0" w:space="0" w:color="auto"/>
      </w:divBdr>
    </w:div>
    <w:div w:id="1777599242">
      <w:bodyDiv w:val="1"/>
      <w:marLeft w:val="0"/>
      <w:marRight w:val="0"/>
      <w:marTop w:val="0"/>
      <w:marBottom w:val="0"/>
      <w:divBdr>
        <w:top w:val="none" w:sz="0" w:space="0" w:color="auto"/>
        <w:left w:val="none" w:sz="0" w:space="0" w:color="auto"/>
        <w:bottom w:val="none" w:sz="0" w:space="0" w:color="auto"/>
        <w:right w:val="none" w:sz="0" w:space="0" w:color="auto"/>
      </w:divBdr>
    </w:div>
    <w:div w:id="1937982758">
      <w:bodyDiv w:val="1"/>
      <w:marLeft w:val="0"/>
      <w:marRight w:val="0"/>
      <w:marTop w:val="0"/>
      <w:marBottom w:val="0"/>
      <w:divBdr>
        <w:top w:val="none" w:sz="0" w:space="0" w:color="auto"/>
        <w:left w:val="none" w:sz="0" w:space="0" w:color="auto"/>
        <w:bottom w:val="none" w:sz="0" w:space="0" w:color="auto"/>
        <w:right w:val="none" w:sz="0" w:space="0" w:color="auto"/>
      </w:divBdr>
    </w:div>
    <w:div w:id="20409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ai.mk.gov.lv/book/1/chapter/12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i.mk.gov.lv/book/1/chapter/98"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tm.gov.lv/" TargetMode="External"/><Relationship Id="rId4" Type="http://schemas.openxmlformats.org/officeDocument/2006/relationships/footnotes" Target="footnotes.xml"/><Relationship Id="rId9" Type="http://schemas.openxmlformats.org/officeDocument/2006/relationships/hyperlink" Target="mailto:Sandis.Vilcans@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13777</Words>
  <Characters>7853</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Jānis Kalniņš</cp:lastModifiedBy>
  <cp:revision>9</cp:revision>
  <dcterms:created xsi:type="dcterms:W3CDTF">2018-06-25T05:20:00Z</dcterms:created>
  <dcterms:modified xsi:type="dcterms:W3CDTF">2021-09-21T07:08:00Z</dcterms:modified>
</cp:coreProperties>
</file>