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026" w:rsidRDefault="00B65026" w:rsidP="00B65026">
      <w:pPr>
        <w:rPr>
          <w:rFonts w:eastAsia="Times New Roman"/>
        </w:rPr>
      </w:pPr>
      <w:r>
        <w:rPr>
          <w:rFonts w:eastAsia="Times New Roman"/>
          <w:b/>
          <w:bCs/>
        </w:rPr>
        <w:t>From:</w:t>
      </w:r>
      <w:r>
        <w:rPr>
          <w:rFonts w:eastAsia="Times New Roman"/>
        </w:rPr>
        <w:t xml:space="preserve"> </w:t>
      </w:r>
      <w:proofErr w:type="spellStart"/>
      <w:r>
        <w:rPr>
          <w:rFonts w:eastAsia="Times New Roman"/>
        </w:rPr>
        <w:t>Dagnija</w:t>
      </w:r>
      <w:proofErr w:type="spellEnd"/>
      <w:r>
        <w:rPr>
          <w:rFonts w:eastAsia="Times New Roman"/>
        </w:rPr>
        <w:t xml:space="preserve"> </w:t>
      </w:r>
      <w:proofErr w:type="spellStart"/>
      <w:r>
        <w:rPr>
          <w:rFonts w:eastAsia="Times New Roman"/>
        </w:rPr>
        <w:t>Zepa</w:t>
      </w:r>
      <w:proofErr w:type="spellEnd"/>
      <w:r>
        <w:rPr>
          <w:rFonts w:eastAsia="Times New Roman"/>
        </w:rPr>
        <w:t xml:space="preserve"> [mailto:dagnija.zepa@pkc.mk.gov.lv] </w:t>
      </w:r>
      <w:r>
        <w:rPr>
          <w:rFonts w:eastAsia="Times New Roman"/>
        </w:rPr>
        <w:br/>
      </w:r>
      <w:r>
        <w:rPr>
          <w:rFonts w:eastAsia="Times New Roman"/>
          <w:b/>
          <w:bCs/>
        </w:rPr>
        <w:t>Sent:</w:t>
      </w:r>
      <w:r>
        <w:rPr>
          <w:rFonts w:eastAsia="Times New Roman"/>
        </w:rPr>
        <w:t xml:space="preserve"> </w:t>
      </w:r>
      <w:proofErr w:type="spellStart"/>
      <w:r>
        <w:rPr>
          <w:rFonts w:eastAsia="Times New Roman"/>
        </w:rPr>
        <w:t>otrdiena</w:t>
      </w:r>
      <w:proofErr w:type="spellEnd"/>
      <w:r>
        <w:rPr>
          <w:rFonts w:eastAsia="Times New Roman"/>
        </w:rPr>
        <w:t xml:space="preserve">, 2021. </w:t>
      </w:r>
      <w:proofErr w:type="spellStart"/>
      <w:proofErr w:type="gramStart"/>
      <w:r>
        <w:rPr>
          <w:rFonts w:eastAsia="Times New Roman"/>
        </w:rPr>
        <w:t>gada</w:t>
      </w:r>
      <w:proofErr w:type="spellEnd"/>
      <w:proofErr w:type="gramEnd"/>
      <w:r>
        <w:rPr>
          <w:rFonts w:eastAsia="Times New Roman"/>
        </w:rPr>
        <w:t xml:space="preserve"> 31. </w:t>
      </w:r>
      <w:proofErr w:type="spellStart"/>
      <w:proofErr w:type="gramStart"/>
      <w:r>
        <w:rPr>
          <w:rFonts w:eastAsia="Times New Roman"/>
        </w:rPr>
        <w:t>augusts</w:t>
      </w:r>
      <w:proofErr w:type="spellEnd"/>
      <w:proofErr w:type="gramEnd"/>
      <w:r>
        <w:rPr>
          <w:rFonts w:eastAsia="Times New Roman"/>
        </w:rPr>
        <w:t xml:space="preserve"> 20:39</w:t>
      </w:r>
      <w:r>
        <w:rPr>
          <w:rFonts w:eastAsia="Times New Roman"/>
        </w:rPr>
        <w:br/>
      </w:r>
      <w:r>
        <w:rPr>
          <w:rFonts w:eastAsia="Times New Roman"/>
          <w:b/>
          <w:bCs/>
        </w:rPr>
        <w:t>To:</w:t>
      </w:r>
      <w:r>
        <w:rPr>
          <w:rFonts w:eastAsia="Times New Roman"/>
        </w:rPr>
        <w:t xml:space="preserve"> Anita Depkovska &lt;Anita.Depkovska@izm.gov.lv&gt;</w:t>
      </w:r>
      <w:r>
        <w:rPr>
          <w:rFonts w:eastAsia="Times New Roman"/>
        </w:rPr>
        <w:br/>
      </w:r>
      <w:r>
        <w:rPr>
          <w:rFonts w:eastAsia="Times New Roman"/>
          <w:b/>
          <w:bCs/>
        </w:rPr>
        <w:t>Cc:</w:t>
      </w:r>
      <w:r>
        <w:rPr>
          <w:rFonts w:eastAsia="Times New Roman"/>
        </w:rPr>
        <w:t xml:space="preserve"> </w:t>
      </w:r>
      <w:proofErr w:type="spellStart"/>
      <w:r>
        <w:rPr>
          <w:rFonts w:eastAsia="Times New Roman"/>
        </w:rPr>
        <w:t>Dzintra</w:t>
      </w:r>
      <w:proofErr w:type="spellEnd"/>
      <w:r>
        <w:rPr>
          <w:rFonts w:eastAsia="Times New Roman"/>
        </w:rPr>
        <w:t xml:space="preserve"> </w:t>
      </w:r>
      <w:proofErr w:type="spellStart"/>
      <w:r>
        <w:rPr>
          <w:rFonts w:eastAsia="Times New Roman"/>
        </w:rPr>
        <w:t>Gasune</w:t>
      </w:r>
      <w:proofErr w:type="spellEnd"/>
      <w:r>
        <w:rPr>
          <w:rFonts w:eastAsia="Times New Roman"/>
        </w:rPr>
        <w:t xml:space="preserve"> &lt;Dzintra.Gasune@pkc.mk.gov.lv&gt;; </w:t>
      </w:r>
      <w:proofErr w:type="spellStart"/>
      <w:r>
        <w:rPr>
          <w:rFonts w:eastAsia="Times New Roman"/>
        </w:rPr>
        <w:t>Peteris</w:t>
      </w:r>
      <w:proofErr w:type="spellEnd"/>
      <w:r>
        <w:rPr>
          <w:rFonts w:eastAsia="Times New Roman"/>
        </w:rPr>
        <w:t xml:space="preserve"> </w:t>
      </w:r>
      <w:proofErr w:type="spellStart"/>
      <w:r>
        <w:rPr>
          <w:rFonts w:eastAsia="Times New Roman"/>
        </w:rPr>
        <w:t>Vilks</w:t>
      </w:r>
      <w:proofErr w:type="spellEnd"/>
      <w:r>
        <w:rPr>
          <w:rFonts w:eastAsia="Times New Roman"/>
        </w:rPr>
        <w:t xml:space="preserve"> &lt;peteris.vilks@pkc.mk.gov.lv&gt;</w:t>
      </w:r>
      <w:r>
        <w:rPr>
          <w:rFonts w:eastAsia="Times New Roman"/>
        </w:rPr>
        <w:br/>
      </w:r>
      <w:r>
        <w:rPr>
          <w:rFonts w:eastAsia="Times New Roman"/>
          <w:b/>
          <w:bCs/>
        </w:rPr>
        <w:t>Subject:</w:t>
      </w:r>
      <w:r>
        <w:rPr>
          <w:rFonts w:eastAsia="Times New Roman"/>
        </w:rPr>
        <w:t xml:space="preserve"> </w:t>
      </w:r>
      <w:proofErr w:type="spellStart"/>
      <w:r>
        <w:rPr>
          <w:rFonts w:eastAsia="Times New Roman"/>
        </w:rPr>
        <w:t>Elektroniska</w:t>
      </w:r>
      <w:proofErr w:type="spellEnd"/>
      <w:r>
        <w:rPr>
          <w:rFonts w:eastAsia="Times New Roman"/>
        </w:rPr>
        <w:t xml:space="preserve"> </w:t>
      </w:r>
      <w:proofErr w:type="spellStart"/>
      <w:r>
        <w:rPr>
          <w:rFonts w:eastAsia="Times New Roman"/>
        </w:rPr>
        <w:t>atkārtota</w:t>
      </w:r>
      <w:proofErr w:type="spellEnd"/>
      <w:r>
        <w:rPr>
          <w:rFonts w:eastAsia="Times New Roman"/>
        </w:rPr>
        <w:t xml:space="preserve"> </w:t>
      </w:r>
      <w:proofErr w:type="spellStart"/>
      <w:r>
        <w:rPr>
          <w:rFonts w:eastAsia="Times New Roman"/>
        </w:rPr>
        <w:t>starpinstitūciju</w:t>
      </w:r>
      <w:proofErr w:type="spellEnd"/>
      <w:r>
        <w:rPr>
          <w:rFonts w:eastAsia="Times New Roman"/>
        </w:rPr>
        <w:t xml:space="preserve"> </w:t>
      </w:r>
      <w:proofErr w:type="spellStart"/>
      <w:r>
        <w:rPr>
          <w:rFonts w:eastAsia="Times New Roman"/>
        </w:rPr>
        <w:t>saskaņošana</w:t>
      </w:r>
      <w:proofErr w:type="spellEnd"/>
      <w:r>
        <w:rPr>
          <w:rFonts w:eastAsia="Times New Roman"/>
        </w:rPr>
        <w:t xml:space="preserve"> par </w:t>
      </w:r>
      <w:proofErr w:type="spellStart"/>
      <w:r>
        <w:rPr>
          <w:rFonts w:eastAsia="Times New Roman"/>
        </w:rPr>
        <w:t>atkārtoti</w:t>
      </w:r>
      <w:proofErr w:type="spellEnd"/>
      <w:r>
        <w:rPr>
          <w:rFonts w:eastAsia="Times New Roman"/>
        </w:rPr>
        <w:t xml:space="preserve"> </w:t>
      </w:r>
      <w:proofErr w:type="spellStart"/>
      <w:r>
        <w:rPr>
          <w:rFonts w:eastAsia="Times New Roman"/>
        </w:rPr>
        <w:t>precizēto</w:t>
      </w:r>
      <w:proofErr w:type="spellEnd"/>
      <w:r>
        <w:rPr>
          <w:rFonts w:eastAsia="Times New Roman"/>
        </w:rPr>
        <w:t xml:space="preserve"> MK </w:t>
      </w:r>
      <w:proofErr w:type="spellStart"/>
      <w:r>
        <w:rPr>
          <w:rFonts w:eastAsia="Times New Roman"/>
        </w:rPr>
        <w:t>noteikumu</w:t>
      </w:r>
      <w:proofErr w:type="spellEnd"/>
      <w:r>
        <w:rPr>
          <w:rFonts w:eastAsia="Times New Roman"/>
        </w:rPr>
        <w:t xml:space="preserve"> </w:t>
      </w:r>
      <w:proofErr w:type="spellStart"/>
      <w:r>
        <w:rPr>
          <w:rFonts w:eastAsia="Times New Roman"/>
        </w:rPr>
        <w:t>projektu</w:t>
      </w:r>
      <w:proofErr w:type="spellEnd"/>
      <w:r>
        <w:rPr>
          <w:rFonts w:eastAsia="Times New Roman"/>
        </w:rPr>
        <w:t xml:space="preserve"> “</w:t>
      </w:r>
      <w:proofErr w:type="spellStart"/>
      <w:r>
        <w:rPr>
          <w:rFonts w:eastAsia="Times New Roman"/>
        </w:rPr>
        <w:t>Ministru</w:t>
      </w:r>
      <w:proofErr w:type="spellEnd"/>
      <w:r>
        <w:rPr>
          <w:rFonts w:eastAsia="Times New Roman"/>
        </w:rPr>
        <w:t xml:space="preserve"> </w:t>
      </w:r>
      <w:proofErr w:type="spellStart"/>
      <w:r>
        <w:rPr>
          <w:rFonts w:eastAsia="Times New Roman"/>
        </w:rPr>
        <w:t>kabineta</w:t>
      </w:r>
      <w:proofErr w:type="spellEnd"/>
      <w:r>
        <w:rPr>
          <w:rFonts w:eastAsia="Times New Roman"/>
        </w:rPr>
        <w:t xml:space="preserve"> </w:t>
      </w:r>
      <w:proofErr w:type="spellStart"/>
      <w:r>
        <w:rPr>
          <w:rFonts w:eastAsia="Times New Roman"/>
        </w:rPr>
        <w:t>virzītu</w:t>
      </w:r>
      <w:proofErr w:type="spellEnd"/>
      <w:r>
        <w:rPr>
          <w:rFonts w:eastAsia="Times New Roman"/>
        </w:rPr>
        <w:t xml:space="preserve"> </w:t>
      </w:r>
      <w:proofErr w:type="spellStart"/>
      <w:r>
        <w:rPr>
          <w:rFonts w:eastAsia="Times New Roman"/>
        </w:rPr>
        <w:t>valsts</w:t>
      </w:r>
      <w:proofErr w:type="spellEnd"/>
      <w:r>
        <w:rPr>
          <w:rFonts w:eastAsia="Times New Roman"/>
        </w:rPr>
        <w:t xml:space="preserve"> </w:t>
      </w:r>
      <w:proofErr w:type="spellStart"/>
      <w:r>
        <w:rPr>
          <w:rFonts w:eastAsia="Times New Roman"/>
        </w:rPr>
        <w:t>augstskolas</w:t>
      </w:r>
      <w:proofErr w:type="spellEnd"/>
      <w:r>
        <w:rPr>
          <w:rFonts w:eastAsia="Times New Roman"/>
        </w:rPr>
        <w:t xml:space="preserve"> </w:t>
      </w:r>
      <w:proofErr w:type="spellStart"/>
      <w:r>
        <w:rPr>
          <w:rFonts w:eastAsia="Times New Roman"/>
        </w:rPr>
        <w:t>padomes</w:t>
      </w:r>
      <w:proofErr w:type="spellEnd"/>
      <w:r>
        <w:rPr>
          <w:rFonts w:eastAsia="Times New Roman"/>
        </w:rPr>
        <w:t xml:space="preserve"> </w:t>
      </w:r>
      <w:proofErr w:type="spellStart"/>
      <w:r>
        <w:rPr>
          <w:rFonts w:eastAsia="Times New Roman"/>
        </w:rPr>
        <w:t>locekļu</w:t>
      </w:r>
      <w:proofErr w:type="spellEnd"/>
      <w:r>
        <w:rPr>
          <w:rFonts w:eastAsia="Times New Roman"/>
        </w:rPr>
        <w:t xml:space="preserve"> atlases, </w:t>
      </w:r>
      <w:proofErr w:type="spellStart"/>
      <w:r>
        <w:rPr>
          <w:rFonts w:eastAsia="Times New Roman"/>
        </w:rPr>
        <w:t>izvirzīšanas</w:t>
      </w:r>
      <w:proofErr w:type="spellEnd"/>
      <w:r>
        <w:rPr>
          <w:rFonts w:eastAsia="Times New Roman"/>
        </w:rPr>
        <w:t xml:space="preserve"> un </w:t>
      </w:r>
      <w:proofErr w:type="spellStart"/>
      <w:r>
        <w:rPr>
          <w:rFonts w:eastAsia="Times New Roman"/>
        </w:rPr>
        <w:t>atsaukšanas</w:t>
      </w:r>
      <w:proofErr w:type="spellEnd"/>
      <w:r>
        <w:rPr>
          <w:rFonts w:eastAsia="Times New Roman"/>
        </w:rPr>
        <w:t xml:space="preserve"> </w:t>
      </w:r>
      <w:proofErr w:type="spellStart"/>
      <w:r>
        <w:rPr>
          <w:rFonts w:eastAsia="Times New Roman"/>
        </w:rPr>
        <w:t>kārtība</w:t>
      </w:r>
      <w:proofErr w:type="spellEnd"/>
      <w:r>
        <w:rPr>
          <w:rFonts w:eastAsia="Times New Roman"/>
        </w:rPr>
        <w:t xml:space="preserve">” </w:t>
      </w:r>
      <w:r>
        <w:rPr>
          <w:rFonts w:eastAsia="Times New Roman"/>
        </w:rPr>
        <w:br/>
      </w:r>
      <w:r>
        <w:rPr>
          <w:rFonts w:eastAsia="Times New Roman"/>
          <w:b/>
          <w:bCs/>
        </w:rPr>
        <w:t>Importance:</w:t>
      </w:r>
      <w:r>
        <w:rPr>
          <w:rFonts w:eastAsia="Times New Roman"/>
        </w:rPr>
        <w:t xml:space="preserve"> High</w:t>
      </w:r>
    </w:p>
    <w:p w:rsidR="00B65026" w:rsidRDefault="00B65026" w:rsidP="00B65026"/>
    <w:p w:rsidR="00B65026" w:rsidRDefault="00B65026" w:rsidP="00B65026">
      <w:pPr>
        <w:shd w:val="clear" w:color="auto" w:fill="FFEB9C"/>
        <w:spacing w:line="240" w:lineRule="atLeast"/>
        <w:rPr>
          <w:rFonts w:eastAsia="Times New Roman"/>
          <w:color w:val="000000"/>
          <w:sz w:val="20"/>
          <w:szCs w:val="20"/>
          <w:lang w:val="lv-LV"/>
        </w:rPr>
      </w:pPr>
      <w:r>
        <w:rPr>
          <w:rStyle w:val="Strong"/>
          <w:rFonts w:eastAsia="Times New Roman"/>
          <w:color w:val="000000"/>
          <w:sz w:val="20"/>
          <w:szCs w:val="20"/>
          <w:lang w:val="lv-LV"/>
        </w:rPr>
        <w:t>INFORMĀCIJAI:</w:t>
      </w:r>
      <w:r>
        <w:rPr>
          <w:rFonts w:eastAsia="Times New Roman"/>
          <w:color w:val="000000"/>
          <w:sz w:val="20"/>
          <w:szCs w:val="20"/>
          <w:lang w:val="lv-LV"/>
        </w:rPr>
        <w:t xml:space="preserve"> E-pasta vēstules sūtītājs ir ārējais adresāts. </w:t>
      </w:r>
    </w:p>
    <w:p w:rsidR="00B65026" w:rsidRDefault="00B65026" w:rsidP="00B65026">
      <w:pPr>
        <w:rPr>
          <w:rFonts w:ascii="Times New Roman" w:eastAsia="Times New Roman" w:hAnsi="Times New Roman" w:cs="Times New Roman"/>
          <w:sz w:val="24"/>
          <w:szCs w:val="24"/>
          <w:lang w:val="lv-LV"/>
        </w:rPr>
      </w:pPr>
    </w:p>
    <w:p w:rsidR="00B65026" w:rsidRDefault="00B65026" w:rsidP="00B65026">
      <w:pPr>
        <w:rPr>
          <w:lang w:val="lv-LV"/>
        </w:rPr>
      </w:pPr>
      <w:proofErr w:type="spellStart"/>
      <w:r>
        <w:rPr>
          <w:lang w:val="lv-LV"/>
        </w:rPr>
        <w:t>Pārresoru</w:t>
      </w:r>
      <w:proofErr w:type="spellEnd"/>
      <w:r>
        <w:rPr>
          <w:lang w:val="lv-LV"/>
        </w:rPr>
        <w:t xml:space="preserve"> koordinācijas centrs ir izskatījis Izglītības un zinātnes ministrijas atkārtoti precizēto Ministru kabineta noteikumu projektu “Ministru kabineta virzītu valsts augstskolas padomes locekļu atlases, izvirzīšanas un atsaukšanas kārtība” (turpmāk – MK noteikumu projekts) un saskaņo to bez iebildumiem, vienlaikus izsakot šādus priekšlikumus:</w:t>
      </w:r>
    </w:p>
    <w:p w:rsidR="00B65026" w:rsidRDefault="00B65026" w:rsidP="00B65026">
      <w:pPr>
        <w:pStyle w:val="ListParagraph"/>
        <w:rPr>
          <w:lang w:val="lv-LV"/>
        </w:rPr>
      </w:pPr>
    </w:p>
    <w:p w:rsidR="00B65026" w:rsidRDefault="00B65026" w:rsidP="00B65026">
      <w:pPr>
        <w:numPr>
          <w:ilvl w:val="0"/>
          <w:numId w:val="1"/>
        </w:numPr>
        <w:rPr>
          <w:rFonts w:eastAsia="Times New Roman"/>
          <w:lang w:val="lv-LV"/>
        </w:rPr>
      </w:pPr>
      <w:r>
        <w:rPr>
          <w:rFonts w:eastAsia="Times New Roman"/>
          <w:lang w:val="lv-LV"/>
        </w:rPr>
        <w:t xml:space="preserve">Tā kā Augstskolu likuma 14.¹ panta devītās daļas 2.punktā ir noteiktas augstskolas padomes loceklim nepieciešamās </w:t>
      </w:r>
      <w:r>
        <w:rPr>
          <w:rFonts w:ascii="Arial" w:eastAsia="Times New Roman" w:hAnsi="Arial" w:cs="Arial"/>
          <w:color w:val="000000"/>
          <w:sz w:val="20"/>
          <w:szCs w:val="20"/>
          <w:shd w:val="clear" w:color="auto" w:fill="FFFFFF"/>
          <w:lang w:val="lv-LV"/>
        </w:rPr>
        <w:t xml:space="preserve">profesionālās kompetences </w:t>
      </w:r>
      <w:r>
        <w:rPr>
          <w:rFonts w:eastAsia="Times New Roman"/>
          <w:lang w:val="lv-LV"/>
        </w:rPr>
        <w:t>jomas (</w:t>
      </w:r>
      <w:r>
        <w:rPr>
          <w:rFonts w:ascii="Arial" w:eastAsia="Times New Roman" w:hAnsi="Arial" w:cs="Arial"/>
          <w:color w:val="000000"/>
          <w:sz w:val="20"/>
          <w:szCs w:val="20"/>
          <w:shd w:val="clear" w:color="auto" w:fill="FFFFFF"/>
          <w:lang w:val="lv-LV"/>
        </w:rPr>
        <w:t>piemēram, finanses, risku vadība, stratēģiskā attīstība, kultūra, māksla vai starptautiskā sadarbība), bet saskaņā ar Noteikumu projektu atlases procesā tiks vērtētas arī vadības kompetences, PKC ierosina precizēt jēdziena “kompetences” lietojumu – tur, kur tas ir iespējams sadalot “profesionālajās kompetencēs” un “vadības kompetencēs”.</w:t>
      </w:r>
    </w:p>
    <w:p w:rsidR="00B65026" w:rsidRDefault="00B65026" w:rsidP="00B65026">
      <w:pPr>
        <w:numPr>
          <w:ilvl w:val="0"/>
          <w:numId w:val="1"/>
        </w:numPr>
        <w:rPr>
          <w:rFonts w:eastAsia="Times New Roman"/>
          <w:lang w:val="lv-LV"/>
        </w:rPr>
      </w:pPr>
      <w:r>
        <w:rPr>
          <w:rFonts w:eastAsia="Times New Roman"/>
          <w:lang w:val="lv-LV"/>
        </w:rPr>
        <w:t xml:space="preserve">Ņemot vērā, ka Noteikumu projekta 24. punktā ir paredzēta iespēja kompetenču novērtēšanā piesaistīt personāla ekspertus, aicinām  precizēt Noteikumu projekta 10.1. apakšpunktu, nosakot komisijas locekļiem pieredzi “personāla vadībā, atlasē </w:t>
      </w:r>
      <w:r>
        <w:rPr>
          <w:rFonts w:eastAsia="Times New Roman"/>
          <w:u w:val="single"/>
          <w:lang w:val="lv-LV"/>
        </w:rPr>
        <w:t>vai vadības</w:t>
      </w:r>
      <w:r>
        <w:rPr>
          <w:rFonts w:eastAsia="Times New Roman"/>
          <w:lang w:val="lv-LV"/>
        </w:rPr>
        <w:t xml:space="preserve"> kompetenču novērtēšanā”; </w:t>
      </w:r>
    </w:p>
    <w:p w:rsidR="00B65026" w:rsidRDefault="00B65026" w:rsidP="00B65026">
      <w:pPr>
        <w:numPr>
          <w:ilvl w:val="0"/>
          <w:numId w:val="1"/>
        </w:numPr>
        <w:rPr>
          <w:rFonts w:eastAsia="Times New Roman"/>
          <w:lang w:val="lv-LV"/>
        </w:rPr>
      </w:pPr>
      <w:r>
        <w:rPr>
          <w:rFonts w:eastAsia="Times New Roman"/>
          <w:lang w:val="lv-LV"/>
        </w:rPr>
        <w:t>Lai kandidātu vērtēšanas process būtu saprotamāks, aicinām Noteikumu projekta 23. punktu izteikt šādā redakcijā “Visiem kandidātiem vērtē vienādas kompetences, izmantojot vienādus vērtēšanas kritērijus katrai kompetencei. Katru kritēriju novērtē ar kopējo vērtējuma līmeni:…”</w:t>
      </w:r>
    </w:p>
    <w:p w:rsidR="00B65026" w:rsidRDefault="00B65026" w:rsidP="00B65026">
      <w:pPr>
        <w:rPr>
          <w:lang w:val="lv-LV"/>
        </w:rPr>
      </w:pPr>
    </w:p>
    <w:p w:rsidR="00B65026" w:rsidRDefault="00B65026" w:rsidP="00B65026">
      <w:pPr>
        <w:shd w:val="clear" w:color="auto" w:fill="FFFFFF"/>
        <w:rPr>
          <w:color w:val="000000"/>
          <w:sz w:val="24"/>
          <w:szCs w:val="24"/>
          <w:lang w:val="lv-LV"/>
        </w:rPr>
      </w:pPr>
      <w:bookmarkStart w:id="0" w:name="_Hlk64641951"/>
      <w:r>
        <w:rPr>
          <w:color w:val="000000"/>
          <w:sz w:val="20"/>
          <w:szCs w:val="20"/>
          <w:lang w:val="lv-LV"/>
        </w:rPr>
        <w:t>Ar cieņu</w:t>
      </w:r>
    </w:p>
    <w:p w:rsidR="00B65026" w:rsidRDefault="00B65026" w:rsidP="00B65026">
      <w:pPr>
        <w:shd w:val="clear" w:color="auto" w:fill="FFFFFF"/>
        <w:rPr>
          <w:color w:val="212121"/>
          <w:lang w:val="lv-LV"/>
        </w:rPr>
      </w:pPr>
      <w:r>
        <w:rPr>
          <w:color w:val="000000"/>
          <w:sz w:val="20"/>
          <w:szCs w:val="20"/>
          <w:lang w:val="lv-LV"/>
        </w:rPr>
        <w:t xml:space="preserve">Dagnija </w:t>
      </w:r>
      <w:proofErr w:type="spellStart"/>
      <w:r>
        <w:rPr>
          <w:color w:val="000000"/>
          <w:sz w:val="20"/>
          <w:szCs w:val="20"/>
          <w:lang w:val="lv-LV"/>
        </w:rPr>
        <w:t>Zepa</w:t>
      </w:r>
      <w:proofErr w:type="spellEnd"/>
    </w:p>
    <w:p w:rsidR="00B65026" w:rsidRDefault="00B65026" w:rsidP="00B65026">
      <w:pPr>
        <w:shd w:val="clear" w:color="auto" w:fill="FFFFFF"/>
        <w:rPr>
          <w:color w:val="212121"/>
          <w:lang w:val="lv-LV"/>
        </w:rPr>
      </w:pPr>
      <w:r>
        <w:rPr>
          <w:color w:val="767171"/>
          <w:sz w:val="20"/>
          <w:szCs w:val="20"/>
          <w:lang w:val="lv-LV"/>
        </w:rPr>
        <w:t> </w:t>
      </w:r>
    </w:p>
    <w:p w:rsidR="00B65026" w:rsidRDefault="00B65026" w:rsidP="00B65026">
      <w:pPr>
        <w:shd w:val="clear" w:color="auto" w:fill="FFFFFF"/>
        <w:rPr>
          <w:color w:val="212121"/>
          <w:lang w:val="lv-LV"/>
        </w:rPr>
      </w:pPr>
      <w:proofErr w:type="spellStart"/>
      <w:r>
        <w:rPr>
          <w:color w:val="767171"/>
          <w:sz w:val="20"/>
          <w:szCs w:val="20"/>
          <w:lang w:val="lv-LV"/>
        </w:rPr>
        <w:t>Pārresoru</w:t>
      </w:r>
      <w:proofErr w:type="spellEnd"/>
      <w:r>
        <w:rPr>
          <w:color w:val="767171"/>
          <w:sz w:val="20"/>
          <w:szCs w:val="20"/>
          <w:lang w:val="lv-LV"/>
        </w:rPr>
        <w:t xml:space="preserve"> koordinācijas centrs</w:t>
      </w:r>
    </w:p>
    <w:p w:rsidR="00B65026" w:rsidRDefault="00B65026" w:rsidP="00B65026">
      <w:pPr>
        <w:shd w:val="clear" w:color="auto" w:fill="FFFFFF"/>
        <w:rPr>
          <w:color w:val="212121"/>
          <w:lang w:val="lv-LV"/>
        </w:rPr>
      </w:pPr>
      <w:r>
        <w:rPr>
          <w:color w:val="767171"/>
          <w:sz w:val="20"/>
          <w:szCs w:val="20"/>
          <w:lang w:val="lv-LV"/>
        </w:rPr>
        <w:t>tālr.: 67082815</w:t>
      </w:r>
    </w:p>
    <w:p w:rsidR="00B65026" w:rsidRDefault="00B65026" w:rsidP="00B65026">
      <w:pPr>
        <w:shd w:val="clear" w:color="auto" w:fill="FFFFFF"/>
        <w:rPr>
          <w:color w:val="9CC2E5"/>
          <w:lang w:val="lv-LV"/>
        </w:rPr>
      </w:pPr>
      <w:r>
        <w:rPr>
          <w:color w:val="767171"/>
          <w:sz w:val="20"/>
          <w:szCs w:val="20"/>
          <w:lang w:val="lv-LV"/>
        </w:rPr>
        <w:t>e-pasts: </w:t>
      </w:r>
      <w:hyperlink r:id="rId7" w:history="1">
        <w:r>
          <w:rPr>
            <w:rStyle w:val="Hyperlink"/>
            <w:sz w:val="20"/>
            <w:szCs w:val="20"/>
            <w:lang w:val="lv-LV"/>
          </w:rPr>
          <w:t>dagnija.zepa@pkc.mk.gov.lv</w:t>
        </w:r>
      </w:hyperlink>
    </w:p>
    <w:p w:rsidR="00B65026" w:rsidRDefault="00B65026" w:rsidP="00B65026">
      <w:pPr>
        <w:shd w:val="clear" w:color="auto" w:fill="FFFFFF"/>
        <w:rPr>
          <w:color w:val="212121"/>
          <w:lang w:val="lv-LV"/>
        </w:rPr>
      </w:pPr>
      <w:r>
        <w:rPr>
          <w:color w:val="767171"/>
          <w:sz w:val="20"/>
          <w:szCs w:val="20"/>
          <w:lang w:val="lv-LV"/>
        </w:rPr>
        <w:t>mājaslapa: </w:t>
      </w:r>
      <w:bookmarkStart w:id="1" w:name="_GoBack"/>
      <w:bookmarkEnd w:id="1"/>
      <w:r>
        <w:fldChar w:fldCharType="begin"/>
      </w:r>
      <w:r>
        <w:instrText xml:space="preserve"> HYPERLINK "http://www.pkc.gov.lv/" \o "http://www.pkc.gov.lv/
Ctrl+Noklikšķiniet vai pieskarieties, lai atvērtu saiti" \t "_blank" </w:instrText>
      </w:r>
      <w:r>
        <w:fldChar w:fldCharType="separate"/>
      </w:r>
      <w:r>
        <w:rPr>
          <w:rStyle w:val="Hyperlink"/>
          <w:color w:val="9CC2E5"/>
          <w:sz w:val="20"/>
          <w:szCs w:val="20"/>
          <w:lang w:val="lv-LV"/>
        </w:rPr>
        <w:t>www.pkc.gov.lv</w:t>
      </w:r>
      <w:r>
        <w:fldChar w:fldCharType="end"/>
      </w:r>
    </w:p>
    <w:p w:rsidR="00B65026" w:rsidRDefault="00B65026" w:rsidP="00B65026">
      <w:pPr>
        <w:shd w:val="clear" w:color="auto" w:fill="FFFFFF"/>
        <w:rPr>
          <w:color w:val="212121"/>
          <w:lang w:val="lv-LV"/>
        </w:rPr>
      </w:pPr>
      <w:proofErr w:type="spellStart"/>
      <w:r>
        <w:rPr>
          <w:color w:val="7F7F7F"/>
          <w:sz w:val="20"/>
          <w:szCs w:val="20"/>
          <w:lang w:val="lv-LV"/>
        </w:rPr>
        <w:t>twitter</w:t>
      </w:r>
      <w:proofErr w:type="spellEnd"/>
      <w:r>
        <w:rPr>
          <w:color w:val="262626"/>
          <w:sz w:val="20"/>
          <w:szCs w:val="20"/>
          <w:lang w:val="lv-LV"/>
        </w:rPr>
        <w:t>: </w:t>
      </w:r>
      <w:hyperlink r:id="rId8" w:tgtFrame="_blank" w:tooltip="https://twitter.com/LVnakotne&#10;Ctrl+Noklikšķiniet vai pieskarieties, lai atvērtu saiti" w:history="1">
        <w:r>
          <w:rPr>
            <w:rStyle w:val="Hyperlink"/>
            <w:color w:val="9CC2E5"/>
            <w:sz w:val="20"/>
            <w:szCs w:val="20"/>
            <w:lang w:val="lv-LV"/>
          </w:rPr>
          <w:t>@</w:t>
        </w:r>
        <w:proofErr w:type="spellStart"/>
        <w:r>
          <w:rPr>
            <w:rStyle w:val="Hyperlink"/>
            <w:color w:val="9CC2E5"/>
            <w:sz w:val="20"/>
            <w:szCs w:val="20"/>
            <w:lang w:val="lv-LV"/>
          </w:rPr>
          <w:t>LVnakotne</w:t>
        </w:r>
        <w:proofErr w:type="spellEnd"/>
      </w:hyperlink>
    </w:p>
    <w:p w:rsidR="00B65026" w:rsidRDefault="00B65026" w:rsidP="00B65026">
      <w:pPr>
        <w:shd w:val="clear" w:color="auto" w:fill="FFFFFF"/>
        <w:rPr>
          <w:color w:val="9CC2E5"/>
          <w:sz w:val="20"/>
          <w:szCs w:val="20"/>
          <w:lang w:val="lv-LV"/>
        </w:rPr>
      </w:pPr>
      <w:r>
        <w:rPr>
          <w:color w:val="7F7F7F"/>
          <w:sz w:val="20"/>
          <w:szCs w:val="20"/>
          <w:lang w:val="lv-LV"/>
        </w:rPr>
        <w:t>FB:</w:t>
      </w:r>
      <w:r>
        <w:rPr>
          <w:color w:val="9CC2E5"/>
          <w:sz w:val="20"/>
          <w:szCs w:val="20"/>
          <w:lang w:val="lv-LV"/>
        </w:rPr>
        <w:t> </w:t>
      </w:r>
      <w:proofErr w:type="spellStart"/>
      <w:r>
        <w:rPr>
          <w:color w:val="9CC2E5"/>
          <w:sz w:val="20"/>
          <w:szCs w:val="20"/>
          <w:lang w:val="lv-LV"/>
        </w:rPr>
        <w:t>LVnākotne</w:t>
      </w:r>
      <w:proofErr w:type="spellEnd"/>
    </w:p>
    <w:p w:rsidR="00B65026" w:rsidRDefault="00B65026" w:rsidP="00B65026">
      <w:pPr>
        <w:shd w:val="clear" w:color="auto" w:fill="FFFFFF"/>
        <w:rPr>
          <w:color w:val="212121"/>
          <w:lang w:val="lv-LV"/>
        </w:rPr>
      </w:pPr>
      <w:r>
        <w:rPr>
          <w:noProof/>
          <w:color w:val="212121"/>
        </w:rPr>
        <w:drawing>
          <wp:inline distT="0" distB="0" distL="0" distR="0">
            <wp:extent cx="1266825" cy="1438275"/>
            <wp:effectExtent l="0" t="0" r="9525" b="9525"/>
            <wp:docPr id="1" name="Picture 1" descr="cid:image003.png@01D79EA8.42345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79EA8.423458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266825" cy="1438275"/>
                    </a:xfrm>
                    <a:prstGeom prst="rect">
                      <a:avLst/>
                    </a:prstGeom>
                    <a:noFill/>
                    <a:ln>
                      <a:noFill/>
                    </a:ln>
                  </pic:spPr>
                </pic:pic>
              </a:graphicData>
            </a:graphic>
          </wp:inline>
        </w:drawing>
      </w:r>
      <w:bookmarkEnd w:id="0"/>
    </w:p>
    <w:p w:rsidR="00140FDD" w:rsidRDefault="00140FDD"/>
    <w:sectPr w:rsidR="00140FDD">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0F0" w:rsidRDefault="005020F0" w:rsidP="00B65026">
      <w:r>
        <w:separator/>
      </w:r>
    </w:p>
  </w:endnote>
  <w:endnote w:type="continuationSeparator" w:id="0">
    <w:p w:rsidR="005020F0" w:rsidRDefault="005020F0" w:rsidP="00B65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026" w:rsidRPr="00B65026" w:rsidRDefault="00B65026">
    <w:pPr>
      <w:pStyle w:val="Footer"/>
      <w:rPr>
        <w:lang w:val="lv-LV"/>
      </w:rPr>
    </w:pPr>
    <w:r>
      <w:rPr>
        <w:lang w:val="lv-LV"/>
      </w:rPr>
      <w:t>PKCatz_310821_padomes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0F0" w:rsidRDefault="005020F0" w:rsidP="00B65026">
      <w:r>
        <w:separator/>
      </w:r>
    </w:p>
  </w:footnote>
  <w:footnote w:type="continuationSeparator" w:id="0">
    <w:p w:rsidR="005020F0" w:rsidRDefault="005020F0" w:rsidP="00B650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341055"/>
    <w:multiLevelType w:val="hybridMultilevel"/>
    <w:tmpl w:val="BF6C2A2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696"/>
    <w:rsid w:val="00140FDD"/>
    <w:rsid w:val="005020F0"/>
    <w:rsid w:val="00737696"/>
    <w:rsid w:val="00B65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3C201E-04C7-4D29-9CE8-A8FF9C225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02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65026"/>
    <w:rPr>
      <w:color w:val="0563C1"/>
      <w:u w:val="single"/>
    </w:rPr>
  </w:style>
  <w:style w:type="paragraph" w:styleId="ListParagraph">
    <w:name w:val="List Paragraph"/>
    <w:basedOn w:val="Normal"/>
    <w:uiPriority w:val="34"/>
    <w:qFormat/>
    <w:rsid w:val="00B65026"/>
    <w:pPr>
      <w:ind w:left="720"/>
    </w:pPr>
  </w:style>
  <w:style w:type="character" w:styleId="Strong">
    <w:name w:val="Strong"/>
    <w:basedOn w:val="DefaultParagraphFont"/>
    <w:uiPriority w:val="22"/>
    <w:qFormat/>
    <w:rsid w:val="00B65026"/>
    <w:rPr>
      <w:b/>
      <w:bCs/>
    </w:rPr>
  </w:style>
  <w:style w:type="paragraph" w:styleId="Header">
    <w:name w:val="header"/>
    <w:basedOn w:val="Normal"/>
    <w:link w:val="HeaderChar"/>
    <w:uiPriority w:val="99"/>
    <w:unhideWhenUsed/>
    <w:rsid w:val="00B65026"/>
    <w:pPr>
      <w:tabs>
        <w:tab w:val="center" w:pos="4680"/>
        <w:tab w:val="right" w:pos="9360"/>
      </w:tabs>
    </w:pPr>
  </w:style>
  <w:style w:type="character" w:customStyle="1" w:styleId="HeaderChar">
    <w:name w:val="Header Char"/>
    <w:basedOn w:val="DefaultParagraphFont"/>
    <w:link w:val="Header"/>
    <w:uiPriority w:val="99"/>
    <w:rsid w:val="00B65026"/>
    <w:rPr>
      <w:rFonts w:ascii="Calibri" w:hAnsi="Calibri" w:cs="Calibri"/>
    </w:rPr>
  </w:style>
  <w:style w:type="paragraph" w:styleId="Footer">
    <w:name w:val="footer"/>
    <w:basedOn w:val="Normal"/>
    <w:link w:val="FooterChar"/>
    <w:uiPriority w:val="99"/>
    <w:unhideWhenUsed/>
    <w:rsid w:val="00B65026"/>
    <w:pPr>
      <w:tabs>
        <w:tab w:val="center" w:pos="4680"/>
        <w:tab w:val="right" w:pos="9360"/>
      </w:tabs>
    </w:pPr>
  </w:style>
  <w:style w:type="character" w:customStyle="1" w:styleId="FooterChar">
    <w:name w:val="Footer Char"/>
    <w:basedOn w:val="DefaultParagraphFont"/>
    <w:link w:val="Footer"/>
    <w:uiPriority w:val="99"/>
    <w:rsid w:val="00B6502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44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LVnakotn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gnija.zepa@pkc.mk.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cid:image003.png@01D79EA8.42345820"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2075</Characters>
  <Application>Microsoft Office Word</Application>
  <DocSecurity>0</DocSecurity>
  <Lines>17</Lines>
  <Paragraphs>4</Paragraphs>
  <ScaleCrop>false</ScaleCrop>
  <Company/>
  <LinksUpToDate>false</LinksUpToDate>
  <CharactersWithSpaces>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Depkovska</dc:creator>
  <cp:keywords/>
  <dc:description/>
  <cp:lastModifiedBy>Anita Depkovska</cp:lastModifiedBy>
  <cp:revision>2</cp:revision>
  <dcterms:created xsi:type="dcterms:W3CDTF">2021-08-31T17:42:00Z</dcterms:created>
  <dcterms:modified xsi:type="dcterms:W3CDTF">2021-08-31T17:42:00Z</dcterms:modified>
</cp:coreProperties>
</file>