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22-TA-2553: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atļaujām jaunas elektroenerģijas ražošanas iekārtas ieviešanai vai elektroenerģijas ražošanas jaudas palielināšanai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K2 Ventum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Atļaujas turētājs var lūgt izdarīt grozījumus atļaujā attiecībā uz tajā norādīto nekustamo īpašumu sastāvu, ja tas neietekmē sistēmas operatora izsniegtās tehniskās prasības elektroenerģijas ražošanas iekārtas pieslēguma izbūvei. Uz pievienojamiem nekustamajiem īpašumiem ir attiecināma šo noteikumu </w:t>
            </w:r>
            <w:r w:rsidR="00000000" w:rsidRPr="00000000" w:rsidDel="00000000">
              <w:rPr>
                <w:rtl w:val="0"/>
              </w:rPr>
              <w:t xml:space="preserve">4.</w:t>
            </w:r>
            <w:r w:rsidR="00000000" w:rsidRPr="00000000" w:rsidDel="00000000">
              <w:rPr>
                <w:rtl w:val="0"/>
              </w:rPr>
              <w:t xml:space="preserve"> punkta prasība.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iebilst pret tiesību aktu projekta 13. punktā ietverto tiesību normu, kas ļauj mainīt atļaujā norādītās zemes vienības. Šāda norma ir nepieciešama vienīgi tādiem atļauju saņēmējiem, kuri tās šobrīd ir pieprasījuši bez nepieciešamās priekšizpētes, ar mērķi vēlāk mainīt gan elektroenerģijas ražošanas vietu, gan veidu. Respektīvi, šāds regulējums ir nepieciešams vienīgi tādiem atļauju saņēmējiem, kuri tās ir saņēmuši, lai apietu normatīvajos aktos noteikto kārtību. Tiesību norma ir izslēdzama.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Kalniņš</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Vairāku elektroenerģijas ražošanas iekārtas veidu ieviešanai vai cita elektroenerģijas ražošanas iekārtas veida pievienošanai papildus sākotnējā atļaujā noteiktajam elektroenerģijas ražošanas iekārtas veidam viena pieslēguma ietvaros, atļaujas turētājam ir jāsaņem atļauja vairākiem elektroenerģijas ražošanas iekārtas veidiem (turpmāk - hibrīdatļauja). Uz hibrīdatļaujas turētāju  attiecināmas visas šo noteikumu prasības, kas noteiktas atļaujas turētājam.  Ja iesniedzējam nav izsniegta atļauja un tas vēlas saņemt hibrīdatļauju, iesniedzējs to norāda iesniegumā, attiecīgi aizpildot šo noteikumu </w:t>
            </w:r>
            <w:r w:rsidR="00000000" w:rsidRPr="00000000" w:rsidDel="00000000">
              <w:rPr>
                <w:rtl w:val="0"/>
              </w:rPr>
              <w:t xml:space="preserve">2.</w:t>
            </w:r>
            <w:r w:rsidR="00000000" w:rsidRPr="00000000" w:rsidDel="00000000">
              <w:rPr>
                <w:rtl w:val="0"/>
              </w:rPr>
              <w:t xml:space="preserve"> pielikuma sadaļas par katru no elektroenerģijas ražošanas iekārtu veidiem un norāda dažādo elektroenerģijas ražošanas iekārtas veidu ieviešamās jaudas proporciju atbilstoši to paredzētajai kopējai jaudai.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 ir vērsta uz to, lai personas, kuras atļaujas ir pieprasījušās bez nepieciešamās priekšizpētes, tās vēlāk varētu grozīt, mainot elektroenerģijas ražošanas veidu. Pēc būtības mainīt elektroenerģijas ražošanas veidu ir nepieciešams vienīgi tādām personām, kuras atļauju ir saņēmušas pirms Tiesību aktu projekta 9. punktā minēto nosacījumu izpildes, apejot normatīvajos aktos noteikto projekta realizācijas kārtību. Šāda norma no tiesību akta ir izslēdzama.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Kalniņš</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Atļaujas turētājam ir tiesības lūgt pārreģistrēt atļauju uz citu personu, ja starp atļaujas turētāju un sistēmas operatoru ir noslēgta šo noteikumu </w:t>
            </w:r>
            <w:r w:rsidR="00000000" w:rsidRPr="00000000" w:rsidDel="00000000">
              <w:rPr>
                <w:rtl w:val="0"/>
              </w:rPr>
              <w:t xml:space="preserve">18.</w:t>
            </w:r>
            <w:r w:rsidR="00000000" w:rsidRPr="00000000" w:rsidDel="00000000">
              <w:rPr>
                <w:rtl w:val="0"/>
              </w:rPr>
              <w:t xml:space="preserve"> punktā minētā pieslēguma procesa īstenošanas vienošanās vai pieslēguma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iebilst pret Tiesību aktu projekta 32. punktu, kurš visas iepriekš minētās tiesības piešķir personām, kuras atļaujas ir saņēmušas līdz Tiesību aktu projekta pieņemšanai. Šāda norma ir vienīgi tā saukto “atļauju tirgotāju” interesēs, pārējos tirgus dalībniekus nostādot nevienlīdzīgā situācijā. Turklāt, piedāvātais regulējums neuzliek nekādus pienākums tiem atļauju saņēmējiem, kuri tās būs saņēmuši līdz Tiesību aktu projekta spēkā stāšanās dienai – piemēram, vai un kādos termiņos būs nepieciešams izpildīt Tiesību aktu 4., 5. un 18. punktā noteiktos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Kalniņš</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Atļaujas turētājam ir tiesības lūgt pārreģistrēt atļauju uz citu personu, ja starp atļaujas turētāju un sistēmas operatoru ir noslēgta šo noteikumu </w:t>
            </w:r>
            <w:r w:rsidR="00000000" w:rsidRPr="00000000" w:rsidDel="00000000">
              <w:rPr>
                <w:rtl w:val="0"/>
              </w:rPr>
              <w:t xml:space="preserve">18.</w:t>
            </w:r>
            <w:r w:rsidR="00000000" w:rsidRPr="00000000" w:rsidDel="00000000">
              <w:rPr>
                <w:rtl w:val="0"/>
              </w:rPr>
              <w:t xml:space="preserve"> punktā minētā pieslēguma procesa īstenošanas vienošanās vai pieslēguma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iebilst pret Tiesību aktu projekta 32. punktu, kurš visas šajā tiesību aktā noteiktās tiesības piešķir personām, kuras atļaujas ir saņēmušas līdz Tiesību aktu projekta pieņemšanai. Šāda norma ir vienīgi tā saukto “atļauju tirgotāju” interesēs, pārējos tirgus dalībniekus nostādot nevienlīdzīgā situācijā. Turklāt, piedāvātais regulējums neuzliek nekādus pienākums tiem atļauju saņēmējiem, kuri tās būs saņēmuši līdz Tiesību aktu projekta spēkā stāšanās dienai – piemēram, vai un kādos termiņos būs nepieciešams izpildīt Tiesību aktu 4., 5. un 18. punktā noteiktos pienākumus. Ierosināt izslēgt šo normu no tiesību akta.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Kalniņš</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Atļaujas turētājam ir tiesības lūgt pārreģistrēt atļauju uz citu personu, ja starp atļaujas turētāju un sistēmas operatoru ir noslēgta šo noteikumu </w:t>
            </w:r>
            <w:r w:rsidR="00000000" w:rsidRPr="00000000" w:rsidDel="00000000">
              <w:rPr>
                <w:rtl w:val="0"/>
              </w:rPr>
              <w:t xml:space="preserve">18.</w:t>
            </w:r>
            <w:r w:rsidR="00000000" w:rsidRPr="00000000" w:rsidDel="00000000">
              <w:rPr>
                <w:rtl w:val="0"/>
              </w:rPr>
              <w:t xml:space="preserve"> punktā minētā pieslēguma procesa īstenošanas vienošanās vai pieslēguma līgums.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norma ir nepieciešama tikai un vienīgi tādiem atļauju saņēmējiem, kuri tās saņēmuši ar mērķi atļaujas pārdot. Pēc būtības šāda rīcība ir spekulatīva, jo attiecīgās personas tiesības no valsts ir ieguvušas bez maksas. Turklāt šādu atļauju saņēmēji ir radījuši grūtības projektus īstenot tiem komersantiem, kuriem ir nepieciešami resursi projektu realizācijai un kuri ievēro likumā noteikto projekta īstenošanas kārtību, tai skaitā valstij piederošam uzņēmumam. Norma ir izslēdzama no tiesību akta.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Kalniņš</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22-TA-2553</w:t>
    </w:r>
    <w:r>
      <w:br/>
    </w:r>
    <w:r w:rsidR="00000000" w:rsidRPr="00000000" w:rsidDel="00000000">
      <w:rPr>
        <w:rtl w:val="0"/>
      </w:rPr>
      <w:t xml:space="preserve">Izdrukāts 01.12.2023. 17.31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22-TA-2553</w:t>
    </w:r>
    <w:r>
      <w:br/>
    </w:r>
    <w:r w:rsidR="00000000" w:rsidRPr="00000000" w:rsidDel="00000000">
      <w:rPr>
        <w:rtl w:val="0"/>
      </w:rPr>
      <w:t xml:space="preserve">Izdrukāts 01.12.2023. 17.31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Atzinumi_22-TA-2553.docx</dc:title>
</cp:coreProperties>
</file>

<file path=docProps/custom.xml><?xml version="1.0" encoding="utf-8"?>
<Properties xmlns="http://schemas.openxmlformats.org/officeDocument/2006/custom-properties" xmlns:vt="http://schemas.openxmlformats.org/officeDocument/2006/docPropsVTypes"/>
</file>