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Kārtība, kādā sadarbības iestāde veic pārbaudes projekta īstenošanas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pārbaudi projekta īstenošanas vietā, lūdzam noteikumus papildināt ar nepārprotamu izņēmumu, ka finanšu instrumentu programmām pārbaude projekta īstenošanas vietā tiek veikta tikai pie iestādēm, kas īsteno finanšu instrumentus, kas atbilst EIROPAS PARLAMENTA UN PADOMES REGULA (ES) Nr. 2021/1060 81.patna 1.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Kampāne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Kārtība, kādā pārbauda maksājuma pieprasījumus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vai to sekojošos Vadošās iestādes vadlīniju dokumentos, nepieciešams noteikt pienākumu Sadarbības iestādei pie pirmā maksājuma pieprasījuma gūt pārliecību, ka finansējuma saņēmēja izveidotā iekšējā kontroles sistēma ir atbilstoša un normatīvo aktu prasības fondu finansējumu kontrolei ir atbilstošas.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Kampāne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Kārtība, kādā pārbauda maksājuma pieprasījumus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maksājuma pieprasījuma forma ir/tiek iestrādāta Vadības informācijas sistēmā, nepieciešams identificēt informācijas apjomu vismaz datu lauku līmenī, lai finansējuma saņēmējs jau laicīgi spēj pielāgot savus dokumentus un informācijas sistēmas nepieciešamam datu apjomam un struktūrai, kā arī precīzi noteikt darba apjomu, kas nepieciešams pārskatu gatavošanai, jo īpaši svarigi projektiem, kuru ietvaros atbalsts tiks piešķirts gala saņēmējiem un projekta īstenošanā iesaistīti partneri, kuru sadarbības līgumos precīzi jānosaka uzkrājamās informācijas apjoms.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Kampāne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Sadarbības iestāde izlases veidā pārbauda finansējuma saņēmēja vadības informācijas sistēmā ievadīto avansa maksājuma pieprasījumu, izvērtē tā atbilstību normatīvajam aktam par specifiskā atbalsta mērķa īstenošanu un līguma vai vienošanās par projekta īstenošanu nosacījumiem, un ne vēlāk kā 80 dienu laikā pēc avansa maksājuma pieprasījuma saņemšanas veic maksājumu.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47.punktā noteiktais termiņš 80 dienas avansa maksājumam ir jānosaka īsāks, vai jāparedz iespēja, ka caur noslēgto vienošanos par fondu īstenošanu ir iespējas minēto termiņu noteikt īsāku.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Kampāne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Finansējuma saņēmējs šo noteikumu </w:t>
            </w:r>
            <w:r w:rsidR="00000000" w:rsidRPr="00000000" w:rsidDel="00000000">
              <w:rPr>
                <w:rtl w:val="0"/>
              </w:rPr>
              <w:t xml:space="preserve">48. </w:t>
            </w:r>
            <w:r w:rsidR="00000000" w:rsidRPr="00000000" w:rsidDel="00000000">
              <w:rPr>
                <w:rtl w:val="0"/>
              </w:rPr>
              <w:t xml:space="preserve">punktā</w:t>
            </w:r>
            <w:r w:rsidR="00000000" w:rsidRPr="00000000" w:rsidDel="00000000">
              <w:rPr>
                <w:rtl w:val="0"/>
              </w:rPr>
              <w:t xml:space="preserve"> minētajai pārbaudei nepieciešamos izdevumus pamatojošos dokumentus iesniedz sadarbības iestādes noteiktajā termiņā, kas nav īsāks par piecām darbdienām.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50. punktā nepieciešams paredzēt iespēju Finansējama saņēmējam objektīvi pamatotos gadījumos, vienojoties ar Sadarbības iestādi noteikt garāku informācijas iesniegšanas termiņu, jo īpaši projektos, kurus īsteno finanšu instrumentu veidā un ir nepieciešams informāciju saņemt no finanšu starpniekiem vai gala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Kampāne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Kārtība, kādā sadarbības iestāde pārbauda pārskatu par projekta dalībniekiem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VI. Sadaļa par ESF dalībnieku būtu saistoša finanšu instrumentu projektu gadījumā, nepieciešamības gadījumā paredzot nepārprotamu izņēmumu.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Kampāne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01.11.2022.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01.11.2022.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