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finanšu avotiem, no kuriem ir plānots novirzīt finansējumu uz 4.2.2.3 pasākumu, atbilstoši anotācijas sadaļas “Risinājuma apraksts” pirmajam paragrāfam.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izglītības attīstības aģentūra ne vēlāk kā līdz 2025. gada 31. jūlijam 4.2.2.3.pasākuma īstenotā projekta ietvaros vienojas ar sociālajiem un sadarbības partneriem par finansējuma 2 647 705 euro apmērā izlietojumu mācību līdzekļu izstrādei izglītojamajiem vispārējās izglītības satura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Ministru kabineta protokollēmuma 4.2.apakšpunktā vārdus "sociālajiem un", ņemot vērā, ka saskaņā ar Ministru kabineta noteikumiem par 4.2.2.3.pasākuma īstenošanu finansējuma saņēmējs projektu īsteno sadarbībā ar sadarbības partneri.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Publiskos iepirkumus finansējuma saņēmējs veic atklātā, pārredzamā, nediskriminējošā, ja iespējams, konkurenci nodrošinošā, kā arī sociāli atbildīgā veidā saskaņā ar normatīvajiem aktiem publisko iepirkumu jomā, ievērojot nediskriminācijas principus. Projekta ietvaros ir atbalstāma vides prasību un inovatīvu risinājumu integrēšana preču un pakalpojumu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aicinām izvērtēt nepieciešamību noteikumu 34. punktā noteikt finansējuma saņēmējam nosacījumu veikt sociāli atbildīgu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12.05.2025.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