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mērķis ir panākt drošu, cilvēka dzīvībai, veselībai un personas mantai, kā arī videi nekaitīgu pakalpojumu sniegšanu, Valsts kancelejas ieskatā likumprojekts vērtējams kā regulējums ar augstu ietekmes līmeni, kam būtu nepieciešams veikt ex-post ietekmes novērtēšanu trīs līdz piecu gadu laikā no tā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ir praksē ieviestas likuma prasības, vai ir sasniegts noteikumu mērķis un kāda ir regulējuma ietekme uz mērķa grupām (šajā gadījumā sabiedrību un pakalpojumu sniedzējiem). 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 Ex-post novērtējuma rezultāti savukārt kalpo par pamatu lēmuma pieņemšanai par tiesību akta īstenošanas turpināšanu, pārskatīšanu vai jauna normatīvā regulējuma izstrādi, tādējādi uzlabojot tiesiskā regulējuma kvalitāti, aktualitāti un efektivitāti. Ietekmes novērtējums var kalpot arī par pamatu jaunām iniciatīvām, lai sekmētu konkrētā regulējuma īstenošanos.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šobrīd aktīvi strādā pie tiesību aktu izvērtēšanas prakses iedzīvināšanas un attīstīšanas, gan izstrādājot metodiku tiesību aktu ex-post ietekmes izvērtēšanā, gan īstenojot vairākus pilotprojektus, gan plānojot atbalstu novērtēšanas prasmju stiprināšanai pašā valsts pārvaldē. Iecerēts, ka 2025. gada 1.pusē darbs pie tiesību aktu ex-post ietekmes metodikas izstrādes tiks pabeigts, savukārt 2025. gada otrajā pusgadā tiks īstenotas ministriju speciālistu apmācības, nodrošinot atbalstu normatīvo aktu izstrādātājiem un īstenotājiem tiesību aktu ex-post ietekmes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2024. gada Valsts kanceleja sniedz atbalstu (finansiālu un metodisku) nozaru ministrijām tiesību aktu ar augstu ietekmes līmeni ex-post izvērtējuma veikšanai. Šāds atbalsts tiks sniegts arī turpmākajos gados, attīstot tiesību aktu ex-post izvērtējuma veikšanas praksi un sekmējot kvalitatīvāka un efektīvāka normatīvā regulējuma izstrādi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03.02.2025. 18.46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03.02.2025. 18.46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