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piekrītošā nekustamā īpašuma "Bērzenes upe - Bērzumnieki - pagasta robeža" Ķekavas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punktā “Cita informācija” norādīts, ka izdevumi, kas saistīti ar valdījuma tiesību reģistrēšanu, segti no finansēšanas līguma, kas noslēgts 2020. gada 16. novembrī starp RB Rail AS un Eiropas Inovācijas un tīklu izpildaģentūru, par līdzfinansējumu triju Baltijas valstu ātrgaitas dzelzceļa līnijas Rail Baltica projekta attīstībai paredzētajiem līdzekļiem. Saskaņā ar Finanšu ministrijas rīcībā esošo informāciju, līgums, kas noslēgts 2020. gada 16. novembrī, ir CEF 6 līgums, kuram izdevumu attiecināmības termiņš aktivitāšu veikšanai bija 2024. gada 31. decembris, attiecīgi nav skaidrs, kā minētais līgums būtu sasaistāms ar izmaksām, kas veicamas 2026.gadā. Attiecīgi lūdzam pārskatīt un precizēt sniegto informāciju par finansējuma avotu anotācijas 3. 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26.03.2026.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26.03.2026.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Atzinumi_26-TA-543.docx</dc:title>
</cp:coreProperties>
</file>

<file path=docProps/custom.xml><?xml version="1.0" encoding="utf-8"?>
<Properties xmlns="http://schemas.openxmlformats.org/officeDocument/2006/custom-properties" xmlns:vt="http://schemas.openxmlformats.org/officeDocument/2006/docPropsVTypes"/>
</file>