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atkārtoti vērš uzmanību uz proporcionāli lielo lauksaimnieku nevalstisko organizāciju konsultatīvās padomes pārstāvju skaitu Uzraudzības komitejā (16 no 43), salīdzinot ar pārējo institūciju pārstāvjiem (16 / 27), kas var rezultēties vienas puses interesējošu lēmumu pieņemšanā, ignorējot citu pušu intereses. Lai saglabātu līdzsvarotu pārstāvību starp nozarēm un tās pārstāvošajām institūcijām, kā tas minēts arī anotācijā, aicinām samazināt lauksaimnieku nevalstisko organizāciju pārstāvju skaitu Uzraudzības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Kauliņa (DAP)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norādīts, ka noteiktais uzraudzības komitejas institucionālais sastāvs nodrošina iesaistīto iestāžu līdzsvarotu pārstāvību, bet faktiski tikai 5 uzraudzības komitejas locekļi pārstāv dabas aizsardzības institūcijas un organizācijas, aicinām pārskatīt lauksaimnieku nevalstisko organizāciju pārstāvniecību, īpaši, ja vienu organizāciju pārstāv vairāki balsstiesīgie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norādīts, ka noteiktais uzraudzības komitejas institucionālais sastāvs nodrošina iesaistīto iestāžu līdzsvarotu pārstāvību, ir norādīts, ka uzraudzības komiteju veido 43 komitejas locekļi ar balsstiesībām, no kuriem 16 pārstāv lauksaimnieku nevalstiskās organizācijas, tad skaidrībai lūdzam papildināt tekstu anotācijā, norādot, ka tikai 5 uzraudzības komitejas locekļi pārstāv dabas aizsardzības institūcijas un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Stratēģiskā plāna uzraudzības komiteju veido 43 komitejas locekļi ar balsstiesībām, no kuriem 16 uzraudzības komitejas locekļi pārstāv lauksaimnieku nevalstiskās organizācijas, savukārt  5 uzraudzības komitejas locekļi pārstāv dabas aizsardzības institūcijas un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30.12.2022.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30.12.2022.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Atzinumi_22-TA-3048.docx</dc:title>
</cp:coreProperties>
</file>

<file path=docProps/custom.xml><?xml version="1.0" encoding="utf-8"?>
<Properties xmlns="http://schemas.openxmlformats.org/officeDocument/2006/custom-properties" xmlns:vt="http://schemas.openxmlformats.org/officeDocument/2006/docPropsVTypes"/>
</file>