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konceptuālo ziņojumu ar plānoto finansējuma avotu pēc 2026.gada. Gadījumos, kad reformas netiek pilnībā finansētas finansiālais slogs, kas tiek pievienots augstākās izglītības iestādēm, bieži atspoguļojas studiju maksu pieaugumos studējošajiem, tādējādi mazinot augstākās izglītības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23.34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23.34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