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22-TA-1939: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1.komponentes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un 1.1.1.2.i.3. saistīto pasākumu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Atbalstu saskaņā ar šajos noteikumos minētajiem nosacījumiem piešķir Aģentūra, noslēdzot vienošanos ar finansējuma saņēmēju par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minētā finansējuma izlietošanas un uzraudzības kārtību, kā arī citiem investīcijas īstenošanas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atšifrēt, kas noteikumu projekta izpratnē ir "Aģentūra".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Pēc šo Ministru kabineta noteikumu apstiprināšanas Ministrija desmit darbdienu laikā nosūta projekta iesniedzējam: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18.1.apakšpunktā precizēt vārdu "apstiprināšanas", aizstājot to ar vārdiem "spēkā stāšanās". Tāpat ierosinām svītrot vārdus "Ministru kabineta", jo tie ir lieki.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Projekta īstenošanas ietvaros paredzams, ka būvniecības veicēji nodrošina vismaz 70% (pēc svara) bīstamo būvniecības un nojaukšanas atkritumu, kas radušies būvlaukumā no infrastruktūras būvniecības (izņemot dabā sastopamus materiālus, kas definēti kategorija 17 05 04 Eiropas atkritumu sarakstā, kas izveidots ar Komisijas 2000.gada 3.maija Lēmumu 2000/532/EK) sagatavošanu atkārtotai izmantošanai, pārstrādei un citiem materiālu atgūšanas veidiem, tostarp, izmantojot atkritumus citu materiālu aizstāšanai, saskaņā ar atkritumu hierarhiju un Eiropas Savienības būvniecības un nojaukšanas atkritumu apsaimniekošanas protokolu.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Līguma par Eiropas Savienības darbību 288.pantu lēmumi </w:t>
            </w:r>
            <w:r w:rsidR="00000000" w:rsidRPr="00000000" w:rsidDel="00000000">
              <w:rPr>
                <w:u w:val="single"/>
                <w:rtl w:val="0"/>
              </w:rPr>
              <w:t xml:space="preserve">nav tieši piemērojami</w:t>
            </w:r>
            <w:r w:rsidR="00000000" w:rsidRPr="00000000" w:rsidDel="00000000">
              <w:rPr>
                <w:rtl w:val="0"/>
              </w:rPr>
              <w:t xml:space="preserve"> Eiropas Savienības tiesību akti. Ievērojot minēto, lūdzam precziēt noteikumu projekta 26.2.apakšpunkti, atsaucoties uz Latvijas normatīvo aktu, kurā noteiktas minētās atkritumu kategorijas (piemēram, Ministru kabineta 2011. gada 19. aprīļa noteikumu Nr. 302 "Noteikumi par atkritumu klasifikatoru un īpašībām, kuras padara atkritumus bīstamus" attiecīgo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Projekta īstenošanas ietvaros paredzams, ka būvniecības veicēji nodrošina vismaz 70% (pēc svara) bīstamo būvniecības un nojaukšanas atkritumu, kas radušies būvlaukumā no infrastruktūras būvniecības (izņemot dabā sastopamus materiālus, kas definēti kategorija 17 05 04 Eiropas atkritumu sarakstā, kas izveidots ar Komisijas 2000.gada 3.maija Lēmumu 2000/532/EK) sagatavošanu atkārtotai izmantošanai, pārstrādei un citiem materiālu atgūšanas veidiem, tostarp, izmantojot atkritumus citu materiālu aizstāšanai, saskaņā ar atkritumu hierarhiju un Eiropas Savienības būvniecības un nojaukšanas atkritumu apsaimniekošanas protokolu.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"Eiropas Savienības būvniecības un nojaukšanas atkritumu apsaimniekošanas protokols" un kāds ir tā saistošais spēks. Nepieciešamības gadījumā lūdzam precizēt noteikumu projekta 26.2.apakšpunktu, vai nu veidojot atsauci uz tieši piemērojamu Eiropas Savienības tiesību akta normu, vai attiecīgu Latvijas normatīvā akta normu, kurā pārņemtas ES tiesību normas, vai arī definējot konkrētas prasības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arī uz noteikumu projekta 26.3.apakšunktu.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1.punktu, svītrojot vārdu "zināšanai".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Eiropas Savienības Atveseļošanas un noturības mehānisma plāna 1.1.1.2.i. investīcijas “Videi draudzīgi uzlabojumi Rīgas pilsētas sabiedriskā transporta sistēmā” saistīto 1.1.1.2.i.2. un 1.1.1.2.i.3. pasākumu (turpmāk – investīcija)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protokollēmuma projekta 3.punktu, jo noteikumu projekta apstiprināšana Ministru kabinetā jau pēc būtības ir Ministru kabineta atbalsts investīcijas īstenošanai un pēc to spēkā stāšanās atbildīgajām valsts iestādēm rodas pienākums izpidīt šos noteikumus. Līdz ar to nav skaidrs, kāpēc to atkārtoti jānosaka protokollēmumā. Atbilstoši minētajam lūdzam redakcionāli precizēt protokollēmuma projekta 4. un 5.punktu.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Atbalsts tiek sniegts granta veidā, sasniedzot projekta mērķi un ievērojot šo noteikumu </w:t>
            </w:r>
            <w:r w:rsidR="00000000" w:rsidRPr="00000000" w:rsidDel="00000000">
              <w:rPr>
                <w:rtl w:val="0"/>
              </w:rPr>
              <w:t xml:space="preserve">34. </w:t>
            </w:r>
            <w:r w:rsidR="00000000" w:rsidRPr="00000000" w:rsidDel="00000000">
              <w:rPr>
                <w:rtl w:val="0"/>
              </w:rPr>
              <w:t xml:space="preserve">punkta</w:t>
            </w:r>
            <w:r w:rsidR="00000000" w:rsidRPr="00000000" w:rsidDel="00000000">
              <w:rPr>
                <w:rtl w:val="0"/>
              </w:rPr>
              <w:t xml:space="preserve"> nosacījumus. AF atbalsta intensitāte projekta iesniegumā norādītajai attiecināmajai izmaksu pozīcijai ir 100 procenti.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tiesiskās skaidrības nolūkos precizēt noteikumu projekta 8.punktu, svītrojot vārdus "sasniedzot projekta mērķi un ievērojot šo noteikumu 34. punkta nosacījumus". Pirmo nosacījumu ("sasniedzot projekta mērķi) var lasīt arī tādejādi, ka projekta mērķis tiek saniegts jau piešķirot grantu. Savukārt nosacījums par dubultfinansējuma riska novēršanu skaidri izriet no noteikumu projekta 34.punkta, un nav nepieciešams to atkārtoti norādīt citās noteikumu projekta normās Turklāt uz atbalsta sniegšanas kārtību attiecas ne tikai notiekumu projekta 34.punkta, bet arī citi nosacījumi, līdz ar to nav skaidra nepieciešamība uzsvērt tieši šo vienu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Investīcija īstenošana paredzēta vairāku projektu veidā, un tieši: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12.punkta ievaddaļu saskaņā ar Ministru kabineta 2009. gada 3. februāra noteikumu Nr. 108 "Normatīvo aktu projektu sagatavošanas noteikumi" 2. punkta prasībām, piemēram: “Investīcijas īstenošanai var iesniegt šādus projektus:".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22-TA-1939</w:t>
    </w:r>
    <w:r>
      <w:br/>
    </w:r>
    <w:r w:rsidR="00000000" w:rsidRPr="00000000" w:rsidDel="00000000">
      <w:rPr>
        <w:rtl w:val="0"/>
      </w:rPr>
      <w:t xml:space="preserve">Izdrukāts 26.10.2022. 17.44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22-TA-1939</w:t>
    </w:r>
    <w:r>
      <w:br/>
    </w:r>
    <w:r w:rsidR="00000000" w:rsidRPr="00000000" w:rsidDel="00000000">
      <w:rPr>
        <w:rtl w:val="0"/>
      </w:rPr>
      <w:t xml:space="preserve">Izdrukāts 26.10.2022. 17.44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Atzinumi_22-TA-1939.docx</dc:title>
</cp:coreProperties>
</file>

<file path=docProps/custom.xml><?xml version="1.0" encoding="utf-8"?>
<Properties xmlns="http://schemas.openxmlformats.org/officeDocument/2006/custom-properties" xmlns:vt="http://schemas.openxmlformats.org/officeDocument/2006/docPropsVTypes"/>
</file>