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augstākās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projektā piedāvāto studiju rezultātu atšifrējumu iekavās un piedāvā to salāgot ar Profesionālās izglītības likuma pirmajā pantā lietoto terminoloģiju: “profesionālā kompetence — profesionālās darbības veikšanai nepieciešamo zināšanu, prasmju, profesionālās patstāvības un atbildības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projektā piedāvāto terminoloģiju attiecībā uz otrā cikla profesionālo augstāko izglītību. Nosaukumi "īsā" un "garā" programma ir mulsinoši, turklāt nosaukums "īsā profesionālā programma" var viegli tikt sajaukts ar nosaukumu "īsā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organizēt izglītības jomas ekspertu darba grupu, kas varētu vienoties par veiksmīgāko veidu kā noteikumu projektā atspoguļot dažādos studiju programmu garumus, ņemot vērā izglītōjamā iepriekšējo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to, ka noteikumu projekts neparedz darba vidē balstītas mācības kā vienu no profesionālās augstākās izglītības studiju programmu pamatdaļām. Raksturojot studiju programmas obligātā satura struktūru noteikumu projektā kā alternatīva praksei jāpiedāvā arī darba vidē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Augstskolu likums (56. pants), gan Profesionālās izglītības likums nosaka, ka studiju programmas vai to daļas var tikt īstenotas kā darba vidē balstītas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Maģistra studiju programmā studējošie ar iepriekš iegūtu akadēmisko bakalaura grādu pēc sekmīgas maģistra studijas programmas apguves iegūst septītā līmeņa profesionālo kvalifikāciju un maģistra grādu.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piedāvātas normas atbilstību Profesionālās izglītības likuma 24. panta pirmajā daļā noteiktajam, ka profesionālās kvalifikācijas prasībās var tikt iekļautas prasības attiecībā uz iepriekš iegūto izglītību. LDDK ieskatā tas nozīmē, ka profesionālās kvalifikācijas prasībās var tikt noteikta prasība pēc iegūtas sestā līmeņa profesionālās kvalifikācijas, lai varētu iegūt septītā līmeņa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01.03.2023.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01.03.2023.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Atzinumi_22-TA-3777.docx</dc:title>
</cp:coreProperties>
</file>

<file path=docProps/custom.xml><?xml version="1.0" encoding="utf-8"?>
<Properties xmlns="http://schemas.openxmlformats.org/officeDocument/2006/custom-properties" xmlns:vt="http://schemas.openxmlformats.org/officeDocument/2006/docPropsVTypes"/>
</file>