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Ministrija veic maksājumu 5 darbdienu laikā pēc Vides investīciju fonda pozitīva atzinuma par finansējuma saņēmēja iesniegto avansa maksājuma pieprasījumu (ja attiecināms) pieņemšanas, atzinuma par projekta ietvaros noslēgto iepirkuma līgumu maksājumu dokumentiem (attiecināms uz Nodrošinājuma valsts aģentūru), vai atzinuma par finansējuma saņēmēja iesniegto starpposma vai noslēguma maksājuma pieprasījuma un apliecinājuma par finansējuma saņēmēja starpposma vai noslēguma pārskata apstiprināšanu saņemšanas. Ministrija minēto termiņu var pagarināt par precizējumu un pieprasītās papildu informācijas izskatīšanai nepieciešamo laiku, bet ne ilgāk kā par 5 darbdienām.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punktos skaitļu rakstību, jo, skaitļus no "1" līdz "9" parasti raksta ar vārdiem, bet no "10"– ar cipariem.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02.08.2024.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02.08.2024.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Atzinumi_23-TA-3037.docx</dc:title>
</cp:coreProperties>
</file>

<file path=docProps/custom.xml><?xml version="1.0" encoding="utf-8"?>
<Properties xmlns="http://schemas.openxmlformats.org/officeDocument/2006/custom-properties" xmlns:vt="http://schemas.openxmlformats.org/officeDocument/2006/docPropsVTypes"/>
</file>