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24-TA-2417: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Zinātniskās darbības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13.</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w:t>
            </w:r>
            <w:r w:rsidR="00000000" w:rsidRPr="00000000" w:rsidDel="00000000">
              <w:rPr>
                <w:b w:val="1"/>
                <w:vertAlign w:val="superscript"/>
                <w:rtl w:val="0"/>
              </w:rPr>
              <w:t xml:space="preserve">1</w:t>
            </w:r>
            <w:r w:rsidR="00000000" w:rsidRPr="00000000" w:rsidDel="00000000">
              <w:rPr>
                <w:b w:val="1"/>
                <w:rtl w:val="0"/>
              </w:rPr>
              <w:t xml:space="preserve">  pants. Valsts zinātnisko institūciju saimnieciskā darbība un intelektuālā īpašuma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saskaņā ar stratēģiju īsteno mērķgrupu inovāciju, uzņēmējspēju veicinošus, tehnoloģiju un zināšanu pārneses mērķtiecīgu procesu, ietverot gan atbalsta, gan motivāciju programmu izstrādi un ieviešanu, tā ietvaros paredzot gan finanšu, gan citu resursu ieguldījumus.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kārtību valsts zinātnisko institūciju ieguldījumam jaunos vai esošos uzņēmumos, kā arī Eiropas Savienībā regulētos ieguldījumu fondos un citos finanšu instrumentos, tai skaitā procentuāli nosakot tolerances līmeni pret iespējamo valsts zinātniskās institūcijas ieguldījumu portfeļa zaudējumu apmēru 10 gadu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Balstoties uz Ministru kabineta apstiprināto kārtību, valsts zinātniskās institūcijas izstrādā investīciju un tehnoloģiju pārneses stratēģiju, kas ietver arī intelektuālā īpašuma tiesību pārvaldības un izmantošanas politiku, kurā nosaka intelektuālā īpašuma pārvaldību un izmantošanu, tai skaitā licencēšanas, jaunuzņēmumu dibināšanas un atsavināšanas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ievēro pienācīgu rūpību, veicot ieguldījumus atbilstoši valsts zinātniskās institūcijas investīciju un tehnoloģiju pārneses stratēģijā noteiktajiem mērķiem un riska profilam, paredzot kārtību, kādā tiek veikti ieguldījumi un nodrošinot pienācīgu rūpību atbilstoši valsts zinātniskās institūcijas darbības specifikai, dokumentēšanu un pēckontroli.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zinātniskā institūcija tehnoloģiju pārneses un biznesa inkubācijas procesu rezultātā gūto peļņu var ieguldīt investīciju un tehnoloģiju pārneses stratēģijas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zinātniskā institūcija ir tiesīga piesaistīt investīcijas un aizņēmumus pētniecības un attīstības veicināšanā.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zinātniskā institūcija, īstenojot investīciju un tehnoloģiju pārneses stratēģiju, var pretendēt uz valsts uzņēmējdarbības un pētniecības atbalsta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Īstenojot šā panta piektajā daļā noteiktās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ir tiesības intelektuālo īpašumu ieguldīt konkrētā uzņēmuma pamatkapitālā, vai nodot to uzņēmumam īpašumā vai lietošanā, vienojoties ar uzņēmumu par nodošanas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konkrētā uzņēmuma izvēli sadarbības īstenošanai veic bez atlases procedūras, bet izvērtējot tā komercializācijas potenciālu ilgtermiņa atdevi valsts zinātniskā institūcijas turpmākas attīstības nodrošināšanai saskaņā ar investīciju un tehnoloģiju  pārneses stratēģijā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paredzētā Zinātniskās darbības likuma 13.</w:t>
            </w:r>
            <w:r w:rsidR="00000000" w:rsidRPr="00000000" w:rsidDel="00000000">
              <w:rPr>
                <w:vertAlign w:val="superscript"/>
                <w:rtl w:val="0"/>
              </w:rPr>
              <w:t xml:space="preserve">1 </w:t>
            </w:r>
            <w:r w:rsidR="00000000" w:rsidRPr="00000000" w:rsidDel="00000000">
              <w:rPr>
                <w:rtl w:val="0"/>
              </w:rPr>
              <w:t xml:space="preserve">panta astotā daļa paredz, ka, īstenojot šā panta piektajā daļā noteiktās darbības (t.i., valsts zinātniskā institūcija tehnoloģiju pārneses un biznesa inkubācijas procesu rezultātā gūto peļņu var ieguldīt investīciju un tehnoloģiju pārneses stratēģijas īstenošanā) valsts zinātniskajai institūcijai ir tiesības intelektuālo īpašumu ieguldīt konkrētā uzņēmuma pamatkapitālā, vai nodot to uzņēmumam īpašumā vai lietošanā, vienojoties ar uzņēmumu par nodošanas noteikumiem. Valsts zinātniskā institūcija konkrētā uzņēmuma izvēli sadarbības īstenošanai veic bez atlases procedūras, bet, izvērtējot tā komercializācijas potenciālu ilgtermiņa atdevi valsts zinātniskā institūcijas turpmākas attīstības nodrošināšanai saskaņā ar investīciju un tehnoloģiju  pārneses stratēģijā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norādītajam, likumprojekts izstrādāts ar mērķi noteikt kārtību, kādā valsts zinātniskās institūcijas var veikt ieguldījumus jaunu uzņēmumu veidošanā vai esošos uzņēmumos. Norādām, ka iepriekš minētā likumprojekta norma paredz tikai, ka valsts zinātniskajai institūcijai ir tiesības intelektuālo īpašumu ieguldīt uzņēmuma pamatkapitālā, bet nenosaka kārtību, kādā tas ir veicams. Vienlaikus, papildus anotācijā norādītajam saprotams, ka minētās darbības būtu skatāmas zinātības un tehnoloģijas tiesību komercializācijas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papildus paralēli virzītos grozījumus Zinātniskās darbības likumā (TAP Nr.23-TA-2275), t.sk. tajā noteikto deleģējumu Ministru kabinetam noteikt par valsts, pašvaldības, Eiropas Savienības fondu vai citas publiskas ārvalstu finanšu palīdzības finansēta valsts zinātnisko institūciju zinātniska pētījuma rezultātā radītu tiesību uz zinātības, tehnoloģijas, izgudrojuma vai augu šķirnes komercializācijas un šo tiesību nodošanas atlīdzības noteikšanas kārtību, lūdzam pārskatīt likumprojektā paredzēto iepriekš minēto regulējumu (attiecīgi paredzot, ka tas tiek veikts Ministru kabineta noteiktajā kārtībā), kā arī attiecīgi precizēt anotācijas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Bērziņa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13.</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w:t>
            </w:r>
            <w:r w:rsidR="00000000" w:rsidRPr="00000000" w:rsidDel="00000000">
              <w:rPr>
                <w:b w:val="1"/>
                <w:vertAlign w:val="superscript"/>
                <w:rtl w:val="0"/>
              </w:rPr>
              <w:t xml:space="preserve">1</w:t>
            </w:r>
            <w:r w:rsidR="00000000" w:rsidRPr="00000000" w:rsidDel="00000000">
              <w:rPr>
                <w:b w:val="1"/>
                <w:rtl w:val="0"/>
              </w:rPr>
              <w:t xml:space="preserve">  pants. Valsts zinātnisko institūciju saimnieciskā darbība un intelektuālā īpašuma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saskaņā ar stratēģiju īsteno mērķgrupu inovāciju, uzņēmējspēju veicinošus, tehnoloģiju un zināšanu pārneses mērķtiecīgu procesu, ietverot gan atbalsta, gan motivāciju programmu izstrādi un ieviešanu, tā ietvaros paredzot gan finanšu, gan citu resursu ieguldījumus.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kārtību valsts zinātnisko institūciju ieguldījumam jaunos vai esošos uzņēmumos, kā arī Eiropas Savienībā regulētos ieguldījumu fondos un citos finanšu instrumentos, tai skaitā procentuāli nosakot tolerances līmeni pret iespējamo valsts zinātniskās institūcijas ieguldījumu portfeļa zaudējumu apmēru 10 gadu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Balstoties uz Ministru kabineta apstiprināto kārtību, valsts zinātniskās institūcijas izstrādā investīciju un tehnoloģiju pārneses stratēģiju, kas ietver arī intelektuālā īpašuma tiesību pārvaldības un izmantošanas politiku, kurā nosaka intelektuālā īpašuma pārvaldību un izmantošanu, tai skaitā licencēšanas, jaunuzņēmumu dibināšanas un atsavināšanas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ievēro pienācīgu rūpību, veicot ieguldījumus atbilstoši valsts zinātniskās institūcijas investīciju un tehnoloģiju pārneses stratēģijā noteiktajiem mērķiem un riska profilam, paredzot kārtību, kādā tiek veikti ieguldījumi un nodrošinot pienācīgu rūpību atbilstoši valsts zinātniskās institūcijas darbības specifikai, dokumentēšanu un pēckontroli.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zinātniskā institūcija tehnoloģiju pārneses un biznesa inkubācijas procesu rezultātā gūto peļņu var ieguldīt investīciju un tehnoloģiju pārneses stratēģijas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zinātniskā institūcija ir tiesīga piesaistīt investīcijas un aizņēmumus pētniecības un attīstības veicināšanā.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zinātniskā institūcija, īstenojot investīciju un tehnoloģiju pārneses stratēģiju, var pretendēt uz valsts uzņēmējdarbības un pētniecības atbalsta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Īstenojot šā panta piektajā daļā noteiktās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ir tiesības intelektuālo īpašumu ieguldīt konkrētā uzņēmuma pamatkapitālā, vai nodot to uzņēmumam īpašumā vai lietošanā, vienojoties ar uzņēmumu par nodošanas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konkrētā uzņēmuma izvēli sadarbības īstenošanai veic bez atlases procedūras, bet izvērtējot tā komercializācijas potenciālu ilgtermiņa atdevi valsts zinātniskā institūcijas turpmākas attīstības nodrošināšanai saskaņā ar investīciju un tehnoloģiju  pārneses stratēģijā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neradītu liekas interpretācijas iespējas un apjukumu par biznesa inkubācijas procesiem valsts zinātniskajās institūcijās, aicinām Ekonomikas ministriju šī panta piektajā daļā svītrot vārdus "bzinesa inkubācijas", aizstājot tos ar vārdu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zinātniskā institūcija tehnoloģiju pārneses un komercializācijas procesu rezultātā gūto peļņu var ieguldīt investīciju un tehnoloģiju pārneses stratēģijas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13.</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w:t>
            </w:r>
            <w:r w:rsidR="00000000" w:rsidRPr="00000000" w:rsidDel="00000000">
              <w:rPr>
                <w:b w:val="1"/>
                <w:vertAlign w:val="superscript"/>
                <w:rtl w:val="0"/>
              </w:rPr>
              <w:t xml:space="preserve">1</w:t>
            </w:r>
            <w:r w:rsidR="00000000" w:rsidRPr="00000000" w:rsidDel="00000000">
              <w:rPr>
                <w:b w:val="1"/>
                <w:rtl w:val="0"/>
              </w:rPr>
              <w:t xml:space="preserve">  pants. Valsts zinātnisko institūciju saimnieciskā darbība un intelektuālā īpašuma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saskaņā ar stratēģiju īsteno mērķgrupu inovāciju, uzņēmējspēju veicinošus, tehnoloģiju un zināšanu pārneses mērķtiecīgu procesu, ietverot gan atbalsta, gan motivāciju programmu izstrādi un ieviešanu, tā ietvaros paredzot gan finanšu, gan citu resursu ieguldījumus.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kārtību valsts zinātnisko institūciju ieguldījumam jaunos vai esošos uzņēmumos, kā arī Eiropas Savienībā regulētos ieguldījumu fondos un citos finanšu instrumentos, tai skaitā procentuāli nosakot tolerances līmeni pret iespējamo valsts zinātniskās institūcijas ieguldījumu portfeļa zaudējumu apmēru 10 gadu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Balstoties uz Ministru kabineta apstiprināto kārtību, valsts zinātniskās institūcijas izstrādā investīciju un tehnoloģiju pārneses stratēģiju, kas ietver arī intelektuālā īpašuma tiesību pārvaldības un izmantošanas politiku, kurā nosaka intelektuālā īpašuma pārvaldību un izmantošanu, tai skaitā licencēšanas, jaunuzņēmumu dibināšanas un atsavināšanas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ievēro pienācīgu rūpību, veicot ieguldījumus atbilstoši valsts zinātniskās institūcijas investīciju un tehnoloģiju pārneses stratēģijā noteiktajiem mērķiem un riska profilam, paredzot kārtību, kādā tiek veikti ieguldījumi un nodrošinot pienācīgu rūpību atbilstoši valsts zinātniskās institūcijas darbības specifikai, dokumentēšanu un pēckontroli.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zinātniskā institūcija tehnoloģiju pārneses un biznesa inkubācijas procesu rezultātā gūto peļņu var ieguldīt investīciju un tehnoloģiju pārneses stratēģijas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zinātniskā institūcija ir tiesīga piesaistīt investīcijas un aizņēmumus pētniecības un attīstības veicināšanā.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zinātniskā institūcija, īstenojot investīciju un tehnoloģiju pārneses stratēģiju, var pretendēt uz valsts uzņēmējdarbības un pētniecības atbalsta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Īstenojot šā panta piektajā daļā noteiktās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ir tiesības intelektuālo īpašumu ieguldīt konkrētā uzņēmuma pamatkapitālā, vai nodot to uzņēmumam īpašumā vai lietošanā, vienojoties ar uzņēmumu par nodošanas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konkrētā uzņēmuma izvēli sadarbības īstenošanai veic bez atlases procedūras, bet izvērtējot tā komercializācijas potenciālu ilgtermiņa atdevi valsts zinātniskā institūcijas turpmākas attīstības nodrošināšanai saskaņā ar investīciju un tehnoloģiju  pārneses stratēģijā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neradītu liekas interpretācijas iespējas, aicinām EM redakcionāli pārskatīt </w:t>
            </w:r>
            <w:r w:rsidR="00000000" w:rsidRPr="00000000" w:rsidDel="00000000">
              <w:rPr>
                <w:u w:val="single"/>
                <w:rtl w:val="0"/>
              </w:rPr>
              <w:t xml:space="preserve">pirmās daļas r</w:t>
            </w:r>
            <w:r w:rsidR="00000000" w:rsidRPr="00000000" w:rsidDel="00000000">
              <w:rPr>
                <w:rtl w:val="0"/>
              </w:rPr>
              <w:t xml:space="preserve">edakciju, piemēram, no pašreizējās redakcijas nav skaidrs, kas ir saprotams ar valsts zinātnisko institūciju mērķgrupu, kā arī var tikt radīts maldinošs iespaids, ka valsts zinātniskās institūcijas izstrādā kādas atbalsta vai motivācijas programmas. Attiecīgi aicinām no pirmā punkta redakcijas svītrot vārdus "mērķagrupu" un "izstrādi".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saskaņā ar stratēģiju īsteno inovāciju, uzņēmējspēju veicinošus, tehnoloģiju un zināšanu pārneses mērķtiecīgu procesu, ietverot gan atbalsta, gan motivāciju programmu ieviešanu, tā ietvaros paredzot gan finanšu, gan citu resursu ieguldījumus.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13.</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w:t>
            </w:r>
            <w:r w:rsidR="00000000" w:rsidRPr="00000000" w:rsidDel="00000000">
              <w:rPr>
                <w:b w:val="1"/>
                <w:vertAlign w:val="superscript"/>
                <w:rtl w:val="0"/>
              </w:rPr>
              <w:t xml:space="preserve">1</w:t>
            </w:r>
            <w:r w:rsidR="00000000" w:rsidRPr="00000000" w:rsidDel="00000000">
              <w:rPr>
                <w:b w:val="1"/>
                <w:rtl w:val="0"/>
              </w:rPr>
              <w:t xml:space="preserve">  pants. Valsts zinātnisko institūciju saimnieciskā darbība un intelektuālā īpašuma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saskaņā ar stratēģiju īsteno mērķgrupu inovāciju, uzņēmējspēju veicinošus, tehnoloģiju un zināšanu pārneses mērķtiecīgu procesu, ietverot gan atbalsta, gan motivāciju programmu izstrādi un ieviešanu, tā ietvaros paredzot gan finanšu, gan citu resursu ieguldījumus.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kārtību valsts zinātnisko institūciju ieguldījumam jaunos vai esošos uzņēmumos, kā arī Eiropas Savienībā regulētos ieguldījumu fondos un citos finanšu instrumentos, tai skaitā procentuāli nosakot tolerances līmeni pret iespējamo valsts zinātniskās institūcijas ieguldījumu portfeļa zaudējumu apmēru 10 gadu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Balstoties uz Ministru kabineta apstiprināto kārtību, valsts zinātniskās institūcijas izstrādā investīciju un tehnoloģiju pārneses stratēģiju, kas ietver arī intelektuālā īpašuma tiesību pārvaldības un izmantošanas politiku, kurā nosaka intelektuālā īpašuma pārvaldību un izmantošanu, tai skaitā licencēšanas, jaunuzņēmumu dibināšanas un atsavināšanas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ievēro pienācīgu rūpību, veicot ieguldījumus atbilstoši valsts zinātniskās institūcijas investīciju un tehnoloģiju pārneses stratēģijā noteiktajiem mērķiem un riska profilam, paredzot kārtību, kādā tiek veikti ieguldījumi un nodrošinot pienācīgu rūpību atbilstoši valsts zinātniskās institūcijas darbības specifikai, dokumentēšanu un pēckontroli.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zinātniskā institūcija tehnoloģiju pārneses un biznesa inkubācijas procesu rezultātā gūto peļņu var ieguldīt investīciju un tehnoloģiju pārneses stratēģijas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zinātniskā institūcija ir tiesīga piesaistīt investīcijas un aizņēmumus pētniecības un attīstības veicināšanā.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zinātniskā institūcija, īstenojot investīciju un tehnoloģiju pārneses stratēģiju, var pretendēt uz valsts uzņēmējdarbības un pētniecības atbalsta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Īstenojot šā panta piektajā daļā noteiktās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ir tiesības intelektuālo īpašumu ieguldīt konkrētā uzņēmuma pamatkapitālā, vai nodot to uzņēmumam īpašumā vai lietošanā, vienojoties ar uzņēmumu par nodošanas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konkrētā uzņēmuma izvēli sadarbības īstenošanai veic bez atlases procedūras, bet izvērtējot tā komercializācijas potenciālu ilgtermiņa atdevi valsts zinātniskā institūcijas turpmākas attīstības nodrošināšanai saskaņā ar investīciju un tehnoloģiju  pārneses stratēģijā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zinātniskās institūcijas tiek finansētas no publiskajiem līdzekļiem, attiecībā uz tām piešķirto finansējumu, kā arī gadījumā, ja tās šo publisko finansējumu vai tā izmantošanas rezultātā radītos resursus izmanto saimnieciskās darbības veikšanai vai nodod tālāk citiem saimnieciskās darbības veicējiem, tām ir saistoši komercdarbības atbalsta kontroles nosacījumi. Likumprojektā noteikts, ka valsts zinātniskajai institūcijai ir tiesības tās intelektuālo īpašumu ieguldīt uzņēmuma pamatkapitālā vai nodot to uzņēmuma īpašumā vai lietošanā, vienojoties par nosacījumiem, kā arī šo uzņēmumu izvēli sadarbības īstenošanai valsts zinātniskajai institūcijai veicot bez atlases procedūras, bet gan izvērtējot tā komercializācijas potenciālu ilgtermiņā. Skaidrojam, ka šāda publisko resursu izmantošana vērtējama komercdarbības atbalsta kontroles kontekstā.  Attiecīgi lūdzam precizēt likumprojektu un tā anotāciju, norādot, ka, īstenojot 13.</w:t>
            </w:r>
            <w:r w:rsidR="00000000" w:rsidRPr="00000000" w:rsidDel="00000000">
              <w:rPr>
                <w:vertAlign w:val="superscript"/>
                <w:rtl w:val="0"/>
              </w:rPr>
              <w:t xml:space="preserve">1 </w:t>
            </w:r>
            <w:r w:rsidR="00000000" w:rsidRPr="00000000" w:rsidDel="00000000">
              <w:rPr>
                <w:rtl w:val="0"/>
              </w:rPr>
              <w:t xml:space="preserve">pantā minētās darbības, tiks ievēroti komercdarbības atbalsta kontroles nosacījumi, kā arī attiecīgi precizēt likumprojekta 13.</w:t>
            </w:r>
            <w:r w:rsidR="00000000" w:rsidRPr="00000000" w:rsidDel="00000000">
              <w:rPr>
                <w:vertAlign w:val="superscript"/>
                <w:rtl w:val="0"/>
              </w:rPr>
              <w:t xml:space="preserve">1 </w:t>
            </w:r>
            <w:r w:rsidR="00000000" w:rsidRPr="00000000" w:rsidDel="00000000">
              <w:rPr>
                <w:rtl w:val="0"/>
              </w:rPr>
              <w:t xml:space="preserve">panta otro daļu, paredzot Ministru kabinetam noteiktajā kārtībā arī noteikt komercdarbības atbalsta piešķiršanas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Ekonomikas ministriju papildināt anotāciju ar informāciju, kāpēc valstij būtu izdevīgi atļaut valsts zinātniskajām institūcijām veikt ieguldījumus jaunu uzņēmumu veidošanā vai sniegt ieguldījumu esošos uzņēmumos (ieguvumi), tāpat īsi iekļaut citu valstu labo prasi un piemērus, piemēram, Skandināvijas valstu praksi, kas ir vieni no ES dalībvalstu līderiem inovāciju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norādīts, ka, lai nodrošinātu valsts zinātniskās institūcijas finanšu kapacitāti, tā var piesaistīt investīcijas un aizņēmumus pētniecības un attīstības veicināšanai, t.sk. valsts finansējumu. Lūdzam papildināt anotācijas sadaļu ar skaidrojumu par iespējamajiem valsts finansējuma avotiem.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24-TA-2417</w:t>
    </w:r>
    <w:r>
      <w:br/>
    </w:r>
    <w:r w:rsidR="00000000" w:rsidRPr="00000000" w:rsidDel="00000000">
      <w:rPr>
        <w:rtl w:val="0"/>
      </w:rPr>
      <w:t xml:space="preserve">Izdrukāts 04.10.2024. 17.44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24-TA-2417</w:t>
    </w:r>
    <w:r>
      <w:br/>
    </w:r>
    <w:r w:rsidR="00000000" w:rsidRPr="00000000" w:rsidDel="00000000">
      <w:rPr>
        <w:rtl w:val="0"/>
      </w:rPr>
      <w:t xml:space="preserve">Izdrukāts 04.10.2024. 17.44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Atzinumi_24-TA-2417.docx</dc:title>
</cp:coreProperties>
</file>

<file path=docProps/custom.xml><?xml version="1.0" encoding="utf-8"?>
<Properties xmlns="http://schemas.openxmlformats.org/officeDocument/2006/custom-properties" xmlns:vt="http://schemas.openxmlformats.org/officeDocument/2006/docPropsVTypes"/>
</file>