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un profesionālās izglītības iestāžu akreditācijas un to vadītāju profesionālās darbības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1.punktu Noteikumi nav attiecināmi uz Koledžām.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ir minēta Valsts robežsardzes koledža un Valsts policijas koledža, kā arī prasības robežsargiem.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minēto, nepieciešams precizēt Noteikumu anotāciju, izslēdzot no tās teksta daļu saistībā ar Valsts robežsardzes koledžas īstenoto profesionālās tālākizglītības programmu un robežsargiem izvirzāmajām prasībām, kā arī Valsts policijas koledžas īstenoto arodizglītības programmu "Policijas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26.01.2024.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26.01.2024.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Atzinumi_23-TA-2201.docx</dc:title>
</cp:coreProperties>
</file>

<file path=docProps/custom.xml><?xml version="1.0" encoding="utf-8"?>
<Properties xmlns="http://schemas.openxmlformats.org/officeDocument/2006/custom-properties" xmlns:vt="http://schemas.openxmlformats.org/officeDocument/2006/docPropsVTypes"/>
</file>