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pirmā posma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pirmā posma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sēdes protokollēmumā (prot. Nr. 36 85. § 3. punkts)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veikt izvērtējumu par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projektu ar normu, kas paredz, ka finansējuma saņēmējs veic izmaksu un ieguvumu analīzi. Atbilstoši lūdzam papildināt arī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otrās kārtas pirmā posma mērķis ir veicināt tehniskās kapacitātes celšanu Valsts ugunsdzēsības un glābšanas dienestā, nodrošinot vieglo transportlīdzekļu modernizēšanu un paaugstinot sniegto pakalpojumu kvalitāti un pieejamību, sniedzot savlaicīgu palīdzību iedzīvotājiem dažādās bīstamās situācijās, glābjot cilvēku dzīvības, materiālās vērtības un novēršot vides apdraudējumus.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punktu, norādot pasākuma otrās kārtas mērķi atbilstoši Eiropas Savienības kohēzijas politikas programmā 2021.-2027.gadam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mērķis ir veicināt tehniskās kapacitātes celšanu un uzlabot kopējo reaģētspēju Valsts ugunsdzēsības un glābšanas dienestā, nodrošinot specializētā ugunsdzēsības un glābšanas autotransporta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rezultāta rādītājs, kas jāsasniedz līdz 2029. gada 31. decembrim: aplēstās siltumnīcefekta gāzu emisijas samazinās no 1,521 CO2 tonnām, saskaņā ar 2020. gada datiem, līdz 1,395 CO2 tonnām 2029.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6.2. apakšpunktu, nosakot rezultāta rādītājam "aplēstās siltumnīcefekta gāzu emisijas samazinājums CO2 tonnas/gadā" sasniedzamo starpposma vērtību arī līdz 2024.gada beigām 1.521 CO2 tonnas/gadā, ņemot vērā programmā noteikto sasniedzamo starpposma vērtību minētajam rādītājam 2024.gadā.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noteikumu projektā ietvertajiem nosacījumiem un anotācijā skaidrotā secināms, ka projektu plānots īstenot līdz 2024.gada 31.decembrim. Ņemot vērā minēto, aicinām izvērtēt nepieciešamību precizēt noteikumu projekta 6.2.apakšpunktu, skaidri nodalot, kura projekta ietvaros plānots sasniegt 2024.gadā noteikto starpposma vērtību 1.521 CO2 tonnas/gadā un kura projekta ietvaros – 2029.gadam noteikto vērtību 1,395 CO2 tonnas/gadā. Lūdzam atbilstošus precizējumus veikt arī  anotācijā, nodrošinot skaidru un nepārprotamu informācijas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Iekšlietu ministrija ir iesniegusi grozījumu priekšlikumus Eiropas Savienības kohēzijas politikas programmā 2021.-2027.gadam un izrietoši arī rādītāju pasē. Ierosinātie grozījumi vēl būs jāsaskaņo un jāapstiprina Eiropas Komisijai. Ņemot vērā minēto, aicinām Iekšlietu ministriju izvērtēt minēto grozījumu ietekmi uz noteikumu projektu, nepieciešamības gadījumā iekļaujot protokollēmumā punktu, kas paredz Iekšlietu ministrijai izstrādāt rīcību gadījumā, ja tiks saņemti apsvērumi no Eiropas Komisijas par ierosinātajiem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otrās kārtas pirmajam posmam pieejamais kopējais attiecināmais finansējums ir 2 250 000 euro, tai skaitā Eiropas Reģionālās attīstības fonda finansējums – 1 912 500 euro un valsts budžeta līdzfinansējums –   337 500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7.punktu, norādot pasākuma 2.kārtai plānoto un pieejamo finansējumu. Vēršam uzmanību, ka saskaņā ar Iekšlietu ministrijas norādīto informāciju pie Ministru kabineta noteikumu projekta par 2.1.3.3.pasākuma "Katastrofu risku mazināšanas pasākumi” 1.kārtas īstenošanu, elastības finansējums ir plānots tieši 2.kārtā. Lūdzam atbilstoši precizēt arī norādīto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Projektu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nosaka izdevumu attiecināmības sākuma termiņu, kā arī papildināt anotāciju ar pamatojumu, kas nosaka finanšu plūsmas pirms projekta apstiprināšanas nodrošināšanas nosacījumus, kā arī atbildīgās iestādes pienākumus un atbildību gadījumos, ja pirms projekta apstiprināšanas radušās izmaksas, kas nav attiecināmas no ES fondu līdzekļiem. No anotācijā norādītās informācijas secināms, ka izmaksas plānots attiecināt no noteikumu projekta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projektu ar jaunu punktu, kas nosaka, ka nedrīkst attiecināt jau pabeigtas darbības, ņemot vērā anotācijā norādīto informāciju par izmaksu attiecināmības sākuma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horizontālā principa "Vienlīdzība, iekļaušana, nediskriminācija un pamattiesību ievērošana" (turpmāk – HP VINPI) rādītāju, ņemot vērā, ka 2.1.3.3. pasākumam ir netieša ietekme uz minēto horizontālo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HP VINPI rādītāji noteikti Labklājības ministrijas un Tieslietu ministrijas kopīgi izstrādāto vadlīniju “Horizontālais princips “Vienlīdzība, iekļaušana, nediskriminācija un pamattiesību ievērošana” īstenošanas un uzraudzības (2021-2027) 4.pielikumā (pieejamas tīmekļa vietnē: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projektu ar jaunu punktu, kas uzliek pienākumu finansējuma saņēmējam uzkrāt datus par horizontālo principu (uzskaitot konkrētos horizontālos principus) ievērošanu un nodrošināt horizontālo principu ievērošanu (t.sk. nenodarīt būtisku kaitējumu principu, ja attiecināms), kā arī pienākumu finansējuma saņēmējam uzkrāt datus par 2.1.3.3. pasākuma rezultātu un iznākuma rādītāju sasniegtajām vērtībām. Iekļaujot pienākumu finansējuma saņēmējam attiecībā uz nenodarīt būtisku kaitējumu principa ievērošanu, lūdzam vienlaikus pārskatīt noteikumu projekta 15.punktā iekļautā nosacījuma juridisko slogu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skaidru un nepārprotamu informācijas izsekojamību par pasākuma ietekmi (tieša, netieša vai nav ietekmes) uz horizontālajiem principiem, lūdzam pārskatīt un atbilstoši precizēt/papildināt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saņēmējam ir pienākums pirms pasākuma otrās projektu iesniegumu atlases kārtas pirmā posma izsludināšanas izstrādāt nosacījumus, kas paredz kārtību, kādā tiks nodrošināta interešu konflikta neesamība, identificēti apstākļi, kuri izraisa vai var izraisīt interešu konfliktu, kas rada apdraudējumu vai kaitējumu projekta īstenošanai, noteikti veicamie pasākumi un izstrādāti darbības plāni interešu konflikta preventīvai novēršanai un gadījumiem, kad interešu konflikts ir atklāts.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23.punktu, nosakot, ka finansējuma saņēmējs paraksta interešu konflikta neesības apliecinājumu. Vienlaikus aicinām papildināt anotāciju ar skaidrojumu, ka finansējuma saņēmējs nodrošinās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tiesību akta nozīmi un pienesumu Latvijas kopējai izaugsmei un tautsaimniecības attīstībai, ņemot vērā FM 2023.gada vēstulē Nr. 5.1-24/21/ 1076 “Par Eiropas Savienības fondu un Atveseļošanas fonda investīciju pienesumu tautsaimniecībai” ietverto aicinājumu. Vēršam uzmanību, ka saskaņā ar MK 2021.gada 7.septembra noteikumu Nr.617 “Tiesību akta projekta sākotnējās ietekmes izvērtēšanas kārtība” 14.punktā noteikto, izstrādājot sākotnējās ietekmes novērtējumu (anotāciju), ir jāizvērtē arī normatīvā akta ietekme uz tautsaimniecību, norādot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plānā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pirmā posma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izstrādājot un saskaņojot vēl vienu normatīvo aktu par 2.1.3.3.pasākuma otrās kārtas otro posmu pēc būtības ar līdzīgiem nosacījumiem, aicinām Iekšlietu ministriju vērtēt iespēju izstrādāt un virzīt tomēr kompleksu noteikumu projektu 2.1.3.3.pasākuma otrās kārtas īstenošanai. Gadījumā, ja šobrīd vēl nav zināmi visi nosacījumi, kas būtu iekļaujami par otrā posma īstenošanu, tos iespējams iekļaut ar attiecīgiem grozījumiem noteikumu projektā. Lai nodrošinātu skaidru un nepārprotamu informācijas izsekojamību, t.sk. secīgi izrietošu saistošo dokumentu precizēšanu (rādītāju informācijas apkopojuma precizēšana, informācijas aktualizēšana  Kohēzijas politikas fondu vadības informācijas sistēmā u.c.), lūdzam papildināt anotāciju ar detalizētāku informāciju par plānoto pieeju otrās kārtas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izteikt noteikumu projekta nosaukumu atbilstoši Finanšu ministrijas izstrādātajām vadlīnijām Nr.1.4. “Vadlīnijas Ministru kabineta noteikumu par specifiskā atbalsta mērķa īstenošanu izstrādei Eiropas Savienības fondu 2021.—2027. gada plānošanas periodā”, kā arī precizēt saistošo informāciju noteikumu projektā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atzinumā izteiktos iebildumus un priekšlikumus, aicinām Iekšlietu ministriju izvērtēt nepieciešamību, atbilstoši Ministru kabineta 2021.gada 7.septembra noteikumu Nr.606 “Ministru kabineta kārtības rullis” 69.punktā noteiktajam, organizēt starpinstitūciju saskaņošanas sanāksmi, lai nodrošinātu operatīvāku noteikumu projekta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nosaka, ka atbalsts pasākumā tiek sniegts granta veidā, tādejādi nodrošinot skaidru un nepārprotamu informāciju par atbalsta sniegšanas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pasākuma otrās kārtas ietvaros atbalsts tiek sniegts granta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iznākuma rādītājs, kas jāsasniedz līdz 2024. gada 31. decembrim:  investīcijas jaunās vai jauninātās katastrofu monitoringa, gatavības, brīdinājuma un reaģēšanas sistēmās attiecībā uz dabas katastrofām sasniedz 2 250 000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vai MK noteikumos zemāk detalizētāk, piem., III.daļā, kāda punkta ietvaros vai atsevišķā punktā paskaidrot, ko nozīmē termins "jauninātās".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Barkāne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Projekta iesniedzēja un finansējuma saņēmēja funkcijas projekta īstenošanas ietvaros pilda Valsts ugunsdzēsības un glābšanas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noteikumu projekta 9.punktu šādā redakcijā: "Projekta iesniedzējs ir Valsts ugunsdzēsības un glābšanas dienests, kurš pēc projekta iesnieguma apstiprināšanas ir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projekta iesniegumā plāno mērķu sasniegšanu atbilstoši šo noteikumu 6. punktā noteiktajām vērtībām.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11.punktā norādīto, ka projekta iesniedzējs "nodrošina" nevis "plāno" 6.punktā norādīto rādītāju un rezultātu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Barkāne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Maksimālais projekta īstenošanas ilgums ir līdz 2024.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12.punktu, nosakot, ka finansējuma saņēmējs projektu īsteno saskaņā ar vienošanos par projekta īstenošanu, bet ne ilgāk kā līdz 2024.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sagatavo projekta iesniegumu saskaņā ar projektu iesniegumu atlases nolikuma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10. punktu ar 13. punktu, ņemot vērā, ka punkti saturiski pārklājas. Turklāt rekomendējam MK noteikumos nedefinēt iesniedzamos dokumentus, ja vien tie nav specifiski, nozares prasības definējoši.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13.punktu piedāvājam šādā redakcijā:  "Projekta iesniedzējs sagatavo projekta iesniegumu saskaņā ar projektu iesniegumu atlases nolikuma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Barkāne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projekta iesniegumu iesniedz elektroniski, izmantojot Kohēzijas politikas vadības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14.punktu ar vārdu "fondu" aiz vārda "politikas", ņemot vērā sistēmas nosaukumu, kas noregulēts Eiropas Savienības fondu 2021-2027.gada plānošanas perioda vadības likumā un tam pakārtotajos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Valsts ugunsdzēsības un glābšanas dienesta darbības nodrošināšanai nepieciešamo līdz 30 vieglo transportlīdzekļu iegāde, kura tiek īstenota saskaņā ar Eiropas Parlamenta un Padomes Direktīvas (ES)2019/1161 ar ko groza Direktīvu 2009/33/EK par “tīro” un energoefektīvo autotransporta līdzekļu izmantošanas veicināšanu 4.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noteikumu projekta 16.1.apakšpunktā noteikt konkrētu iegādājamo transportlīdzekļu skaitu, ja tomēr izveidojas apstākļi (piemēram, iepirkuma rezultātā), ka par pieejamo finansējumu var iegādāties vairāk vieglo automašīnu.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skaidri precizēt, ka atbalstāma jaunu transportlīdzekļu iegāde, kā arī saturiski precizēt, kāda veida, tipa transporta līdzekļu iegāde ir attiecināma.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informācija nepieciešama, lai gūtu pārliecību par investīciju atbilstību mērķim, mērķa grupai, kā arī pārliecinātos par tehnisko atbilstību, turklāt ņemot vērā, ka plānota ierobežota atlase, investīciju saturs pietiekami skaidri ir zināms.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publicitātes pasākumu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fondus regulējošajos normatīvajos aktos lietoto jēdzienu "komunikācijas un vizuālās identitātes prasības", aicinām izvērtēt un pēc nepieciešamības precizēt noteikumu projekta 16.2. un 17.apakšpunktu. Attiecīgu precizējumu lūdzam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ar projekta darbībām tieši saistīto publicitātes un vizuālās identitātes pasākumu izmaksas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47. un 50. pantam un kārtībai,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noteikumu projekta 17.2.apakšpunktā  vārda "kārtībai" ar vārdiem "normatīvajiem aktiem, kas nosaka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nodrošina, ka projekta iesniegumā plānotās izmaksas netiek segtas no līdzekļiem, kas paredzēti citiem specifiskiem atbalsta mērķiem Eiropas Savienības kohēzijas politikas programmas 2021.–2027.gadam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18.punktu, nosakot ka projekta iesniedzējs nodrošina demarkāciju arī ar citiem finanšu avotiem, ne tikai Eiropas Savienības kohēzijas politikas programmā 2021.–2027.gadam norādītajiem specifiskiem atbalsta mērķiem. Lūdzam atbilstošus precizējumu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Pievienotās vērtības nodoklis, kas tiešā veidā saistīts ar projektu, uzskatāms par attiecināmām izmaksām saskaņā ar regulas 2021/1060 64. panta 1. 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norādot, ka tiks nodrošināts dubultā finansējuma novēršanas risks attiecībā uz pievienotās vērtības nodokļa līdzekļu attiecināšanu/atgūšanu.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17.2.apakšpunktā noteikto, lūdzam papildināt noteikumu projektu ar jaunu punktu, ka finansējuma saņēmējam ir pienākums ievērot publicitātes un vizuālās identitātes pasākumu nosacījumus atbilstoši regulas 2021/1060 47. un 50. pantam un normatīvajiem aktiem, kas nosaka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projekta īstenošanai nepieciešamo preču un pakalpojumu iegādi realizē saskaņā ar publisko iepirkumu reglamentējošajiem normatīvajiem aktiem atklātā, pārredzamā, nediskriminējošā un konkurenci nodrošinošā konkursa procedūrā. Atbalstāma ir vides prasību integrācija preču un pakalpojumu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projektu ar nosacījumu par sociāli atbildīga publiskā iepirkumu un inovatīvu publiskā iepirkumu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saņēmējam ir pienākums pirms pasākuma otrās projektu iesniegumu atlases kārtas pirmā posma izsludināšanas izstrādāt nosacījumus, kas paredz kārtību, kādā tiks nodrošināta interešu konflikta neesamība, identificēti apstākļi, kuri izraisa vai var izraisīt interešu konfliktu, kas rada apdraudējumu vai kaitējumu projekta īstenošanai, noteikti veicamie pasākumi un izstrādāti darbības plāni interešu konflikta preventīvai novēršanai un gadījumiem, kad interešu konflikts ir atklāts.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pilnveidot nosacījumu paredzot prasību, ka jānodrošina ne tikai interešu konflikta neesamība, vadība, prevencija, kompetence, bet arī izpratne par ētiku, ir nodrošinātas procedūras disciplināratbildības piemērošanai,  ir izveidots ziņošanas mehānisms kompetentajām iestādēm par potenciālu administratīvu/kriminālatbildību, ir izveidota trauksmes celšanas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Barkāne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saņēmējs nodrošina, ka projekta īstenošanas pabeigšanas brīdī projekta ietvaros iegādātie vieglie transportlīdzekļi ir ieviesti produktīvajā darbībā atbilstoši apstiprinātajam projekta iesniegumam.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ko nozīmē "ieviesti produktīvajā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Barkāne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biedrību, nodibinājumu, nevalstisko organizāciju iesaisti normatīvā akta izstrādes procesā. Vienlaikus vēršam uzmanību un aicinām ņemt vērā arī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apakšsadaļā "Risinājuma apraksts" norādīto informāciju par projektu iesniegumu vērtēšanas kritēriju metodiku, ņemot vērā, ka minētā metodika Uzraudzības komitejā netiek apstiprināta.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pie “Risinājuma apraksts” (4. lpp) nekorekti norādīto valsts budžeta līdzfinansējuma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nodrošināt skaidrojumus par MK noteikumos paredzēto, nepārrakstot un nedublējot MK noteikumu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Barkāne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 sadaļas 6. punktā norādīt arī projekta īstenošanai pieejamo kopējo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3. sadaļas 5.1. apakšpunktā 2024., 2025. un 2026. gada ailēs “izmaiņas, salīdzinot ar vidēja termiņa budžeta ietvaru” norādīt to pašu finansējumu, kas norādīts attiecīgajās ailēs 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31.08.2023.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31.08.2023.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Atzinumi_23-TA-1151.docx</dc:title>
</cp:coreProperties>
</file>

<file path=docProps/custom.xml><?xml version="1.0" encoding="utf-8"?>
<Properties xmlns="http://schemas.openxmlformats.org/officeDocument/2006/custom-properties" xmlns:vt="http://schemas.openxmlformats.org/officeDocument/2006/docPropsVTypes"/>
</file>